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1A97B" w14:textId="77777777" w:rsidR="000A4484" w:rsidRDefault="001B05AE" w:rsidP="006E56CE">
      <w:pPr>
        <w:pStyle w:val="Heading1"/>
        <w:ind w:firstLine="0"/>
        <w:rPr>
          <w:rStyle w:val="Strong"/>
          <w:b/>
          <w:bCs w:val="0"/>
        </w:rPr>
      </w:pPr>
      <w:r w:rsidRPr="00C47765">
        <w:rPr>
          <w:rStyle w:val="Strong"/>
          <w:b/>
          <w:bCs w:val="0"/>
        </w:rPr>
        <w:t>M</w:t>
      </w:r>
      <w:r w:rsidR="00D33943" w:rsidRPr="00C47765">
        <w:rPr>
          <w:rStyle w:val="Strong"/>
          <w:b/>
          <w:bCs w:val="0"/>
        </w:rPr>
        <w:t>aria</w:t>
      </w:r>
      <w:r w:rsidRPr="00C47765">
        <w:rPr>
          <w:rStyle w:val="Strong"/>
          <w:b/>
          <w:bCs w:val="0"/>
        </w:rPr>
        <w:t xml:space="preserve"> V. H</w:t>
      </w:r>
      <w:r w:rsidR="00D33943" w:rsidRPr="00C47765">
        <w:rPr>
          <w:rStyle w:val="Strong"/>
          <w:b/>
          <w:bCs w:val="0"/>
        </w:rPr>
        <w:t>ughes</w:t>
      </w:r>
      <w:r w:rsidR="00C47765" w:rsidRPr="00C47765">
        <w:rPr>
          <w:rStyle w:val="Strong"/>
          <w:b/>
          <w:bCs w:val="0"/>
        </w:rPr>
        <w:t xml:space="preserve"> </w:t>
      </w:r>
      <w:r w:rsidR="00C643CD" w:rsidRPr="00C47765">
        <w:rPr>
          <w:rStyle w:val="Strong"/>
          <w:b/>
          <w:bCs w:val="0"/>
        </w:rPr>
        <w:t>v.</w:t>
      </w:r>
      <w:r w:rsidR="00C47765" w:rsidRPr="00C47765">
        <w:rPr>
          <w:rStyle w:val="Strong"/>
          <w:b/>
          <w:bCs w:val="0"/>
        </w:rPr>
        <w:t xml:space="preserve"> </w:t>
      </w:r>
      <w:r w:rsidR="00D33943" w:rsidRPr="00C47765">
        <w:rPr>
          <w:rStyle w:val="Strong"/>
          <w:b/>
          <w:bCs w:val="0"/>
        </w:rPr>
        <w:t>Department</w:t>
      </w:r>
      <w:r w:rsidRPr="00C47765">
        <w:rPr>
          <w:rStyle w:val="Strong"/>
          <w:b/>
          <w:bCs w:val="0"/>
        </w:rPr>
        <w:t xml:space="preserve"> </w:t>
      </w:r>
      <w:r w:rsidR="00D33943" w:rsidRPr="00C47765">
        <w:rPr>
          <w:rStyle w:val="Strong"/>
          <w:b/>
          <w:bCs w:val="0"/>
        </w:rPr>
        <w:t>of</w:t>
      </w:r>
      <w:r w:rsidRPr="00C47765">
        <w:rPr>
          <w:rStyle w:val="Strong"/>
          <w:b/>
          <w:bCs w:val="0"/>
        </w:rPr>
        <w:t xml:space="preserve"> R</w:t>
      </w:r>
      <w:r w:rsidR="00D33943" w:rsidRPr="00C47765">
        <w:rPr>
          <w:rStyle w:val="Strong"/>
          <w:b/>
          <w:bCs w:val="0"/>
        </w:rPr>
        <w:t>evenue</w:t>
      </w:r>
      <w:r w:rsidR="00C47765" w:rsidRPr="00C47765">
        <w:rPr>
          <w:rStyle w:val="Strong"/>
          <w:b/>
          <w:bCs w:val="0"/>
        </w:rPr>
        <w:t xml:space="preserve">, </w:t>
      </w:r>
    </w:p>
    <w:p w14:paraId="48315065" w14:textId="01A64A01" w:rsidR="008B7387" w:rsidRPr="00C47765" w:rsidRDefault="008B7387" w:rsidP="006E56CE">
      <w:pPr>
        <w:pStyle w:val="Heading1"/>
        <w:ind w:firstLine="0"/>
        <w:rPr>
          <w:rStyle w:val="Strong"/>
          <w:b/>
          <w:bCs w:val="0"/>
        </w:rPr>
      </w:pPr>
      <w:r w:rsidRPr="00C47765">
        <w:rPr>
          <w:rStyle w:val="Strong"/>
          <w:b/>
          <w:bCs w:val="0"/>
        </w:rPr>
        <w:t>B.T.A. Docket No. 14388B</w:t>
      </w:r>
    </w:p>
    <w:p w14:paraId="08C79113" w14:textId="7D715F48" w:rsidR="00EE2DF4" w:rsidRPr="00C47765" w:rsidRDefault="00D33943" w:rsidP="00A246B5">
      <w:pPr>
        <w:pStyle w:val="Heading2"/>
      </w:pPr>
      <w:r w:rsidRPr="00C47765">
        <w:t>Judgment with Written Reasons</w:t>
      </w:r>
    </w:p>
    <w:p w14:paraId="17CEF832" w14:textId="33CD3E91" w:rsidR="0027664D" w:rsidRPr="00146B52" w:rsidRDefault="008B7387" w:rsidP="00A246B5">
      <w:r w:rsidRPr="00146B52">
        <w:t>On February 5, 2026, this matter came before the Board for hearing on the</w:t>
      </w:r>
      <w:r w:rsidRPr="00146B52">
        <w:t xml:space="preserve"> </w:t>
      </w:r>
      <w:r w:rsidRPr="00146B52">
        <w:t xml:space="preserve">Exceptions of Prescription, </w:t>
      </w:r>
      <w:proofErr w:type="spellStart"/>
      <w:r w:rsidRPr="00146B52">
        <w:t>Peremption</w:t>
      </w:r>
      <w:proofErr w:type="spellEnd"/>
      <w:r w:rsidRPr="00146B52">
        <w:t>, and Lack of Subject Matter Jurisdiction filed</w:t>
      </w:r>
      <w:r w:rsidRPr="00146B52">
        <w:t xml:space="preserve"> </w:t>
      </w:r>
      <w:r w:rsidRPr="00146B52">
        <w:t>by the Louisiana Department of Revenue (“Department”). Presiding at the hearing</w:t>
      </w:r>
      <w:r w:rsidRPr="00146B52">
        <w:t xml:space="preserve"> </w:t>
      </w:r>
      <w:r w:rsidRPr="00146B52">
        <w:t>were Chairman Francis J. “Jay” Lobrano, Vice-Chair Judge Lisa Woodruff-White</w:t>
      </w:r>
      <w:r w:rsidRPr="00146B52">
        <w:t xml:space="preserve"> </w:t>
      </w:r>
      <w:r w:rsidRPr="00146B52">
        <w:t>(Ret.), and Board Member Michael G. Gaffney. Appearing before the Board were:</w:t>
      </w:r>
      <w:r w:rsidRPr="00146B52">
        <w:t xml:space="preserve"> </w:t>
      </w:r>
      <w:r w:rsidRPr="00146B52">
        <w:t>Bernetta Bryant, attorney for the Department, and Maria Hughes (“Petitioner”),</w:t>
      </w:r>
      <w:r w:rsidRPr="00146B52">
        <w:t xml:space="preserve"> </w:t>
      </w:r>
      <w:r w:rsidRPr="00146B52">
        <w:t>representing herself. At the conclusion of the hearing, the Board overruled the</w:t>
      </w:r>
      <w:r w:rsidRPr="00146B52">
        <w:t xml:space="preserve"> </w:t>
      </w:r>
      <w:r w:rsidRPr="00146B52">
        <w:t>Exception of Lack of Subject Matter Jurisdiction and took the remaining Exceptions</w:t>
      </w:r>
      <w:r w:rsidRPr="00146B52">
        <w:t xml:space="preserve"> </w:t>
      </w:r>
      <w:r w:rsidRPr="00146B52">
        <w:t>under advisement. In accordance with the attached Written Reasons, the Board now</w:t>
      </w:r>
      <w:r w:rsidRPr="00146B52">
        <w:t xml:space="preserve"> </w:t>
      </w:r>
      <w:r w:rsidRPr="00146B52">
        <w:t>renders the following Judgment</w:t>
      </w:r>
      <w:r w:rsidR="000F1AF0" w:rsidRPr="00146B52">
        <w:t>:</w:t>
      </w:r>
    </w:p>
    <w:p w14:paraId="31874DD2" w14:textId="073394F3" w:rsidR="008B7387" w:rsidRPr="00146B52" w:rsidRDefault="008B7387" w:rsidP="00A246B5">
      <w:r w:rsidRPr="00146B52">
        <w:t>I</w:t>
      </w:r>
      <w:r w:rsidR="0072065B" w:rsidRPr="00146B52">
        <w:t>t</w:t>
      </w:r>
      <w:r w:rsidRPr="00146B52">
        <w:t xml:space="preserve"> </w:t>
      </w:r>
      <w:r w:rsidR="0072065B" w:rsidRPr="00146B52">
        <w:t>is</w:t>
      </w:r>
      <w:r w:rsidRPr="00146B52">
        <w:t xml:space="preserve"> </w:t>
      </w:r>
      <w:r w:rsidR="0072065B" w:rsidRPr="00146B52">
        <w:t>Ordered</w:t>
      </w:r>
      <w:r w:rsidRPr="00146B52">
        <w:t xml:space="preserve">, </w:t>
      </w:r>
      <w:r w:rsidR="0072065B" w:rsidRPr="00146B52">
        <w:t>Adjudged</w:t>
      </w:r>
      <w:r w:rsidRPr="00146B52">
        <w:t xml:space="preserve">, </w:t>
      </w:r>
      <w:r w:rsidR="0072065B" w:rsidRPr="00146B52">
        <w:t xml:space="preserve">and </w:t>
      </w:r>
      <w:r w:rsidRPr="00146B52">
        <w:t>D</w:t>
      </w:r>
      <w:r w:rsidR="0072065B" w:rsidRPr="00146B52">
        <w:t xml:space="preserve">ecreed </w:t>
      </w:r>
      <w:r w:rsidRPr="00146B52">
        <w:t>that the Department’s</w:t>
      </w:r>
      <w:r w:rsidRPr="00146B52">
        <w:t xml:space="preserve"> </w:t>
      </w:r>
      <w:r w:rsidRPr="00146B52">
        <w:t>Exception of Prescription under La. R.S. 47:1623(A) is S</w:t>
      </w:r>
      <w:r w:rsidR="0072065B" w:rsidRPr="00146B52">
        <w:t>ustained</w:t>
      </w:r>
      <w:r w:rsidRPr="00146B52">
        <w:t>.</w:t>
      </w:r>
    </w:p>
    <w:p w14:paraId="35FED9D1" w14:textId="3B8BF88E" w:rsidR="00EC3F90" w:rsidRPr="00146B52" w:rsidRDefault="008B7387" w:rsidP="00A246B5">
      <w:r w:rsidRPr="00146B52">
        <w:t>I</w:t>
      </w:r>
      <w:r w:rsidR="0072065B" w:rsidRPr="00146B52">
        <w:t>t</w:t>
      </w:r>
      <w:r w:rsidRPr="00146B52">
        <w:t xml:space="preserve"> </w:t>
      </w:r>
      <w:r w:rsidR="0072065B" w:rsidRPr="00146B52">
        <w:t>is</w:t>
      </w:r>
      <w:r w:rsidRPr="00146B52">
        <w:t xml:space="preserve"> </w:t>
      </w:r>
      <w:r w:rsidR="0072065B" w:rsidRPr="00146B52">
        <w:t xml:space="preserve">further </w:t>
      </w:r>
      <w:r w:rsidR="0072065B" w:rsidRPr="00146B52">
        <w:t xml:space="preserve">Ordered, Adjudged, and Decreed </w:t>
      </w:r>
      <w:r w:rsidRPr="00146B52">
        <w:t>that the</w:t>
      </w:r>
      <w:r w:rsidRPr="00146B52">
        <w:t xml:space="preserve"> </w:t>
      </w:r>
      <w:r w:rsidRPr="00146B52">
        <w:t xml:space="preserve">Department’s Exception of </w:t>
      </w:r>
      <w:proofErr w:type="spellStart"/>
      <w:r w:rsidRPr="00146B52">
        <w:t>Peremption</w:t>
      </w:r>
      <w:proofErr w:type="spellEnd"/>
      <w:r w:rsidRPr="00146B52">
        <w:t xml:space="preserve"> under La. R.S. 47:1565 i</w:t>
      </w:r>
      <w:r w:rsidRPr="00146B52">
        <w:t xml:space="preserve">s </w:t>
      </w:r>
      <w:r w:rsidR="0072065B" w:rsidRPr="00146B52">
        <w:t>Sustained</w:t>
      </w:r>
      <w:r w:rsidRPr="00146B52">
        <w:t>.</w:t>
      </w:r>
    </w:p>
    <w:p w14:paraId="7D6F1FEE" w14:textId="1AD87249" w:rsidR="008D514F" w:rsidRPr="005D6CBB" w:rsidRDefault="008D514F" w:rsidP="00A246B5">
      <w:pPr>
        <w:rPr>
          <w:b/>
          <w:bCs/>
        </w:rPr>
      </w:pPr>
      <w:r w:rsidRPr="005D6CBB">
        <w:rPr>
          <w:b/>
          <w:bCs/>
        </w:rPr>
        <w:t xml:space="preserve">Judgment rendered and signed this day, </w:t>
      </w:r>
      <w:r w:rsidR="008A0FA1" w:rsidRPr="005D6CBB">
        <w:rPr>
          <w:b/>
          <w:bCs/>
        </w:rPr>
        <w:t>April</w:t>
      </w:r>
      <w:r w:rsidRPr="005D6CBB">
        <w:rPr>
          <w:b/>
          <w:bCs/>
        </w:rPr>
        <w:t xml:space="preserve"> </w:t>
      </w:r>
      <w:r w:rsidR="008A0FA1" w:rsidRPr="005D6CBB">
        <w:rPr>
          <w:b/>
          <w:bCs/>
        </w:rPr>
        <w:t>1</w:t>
      </w:r>
      <w:r w:rsidR="008A0FA1" w:rsidRPr="005D6CBB">
        <w:rPr>
          <w:b/>
          <w:bCs/>
          <w:vertAlign w:val="superscript"/>
        </w:rPr>
        <w:t>st</w:t>
      </w:r>
      <w:r w:rsidRPr="005D6CBB">
        <w:rPr>
          <w:b/>
          <w:bCs/>
        </w:rPr>
        <w:t>, 2026, at Baton Rouge, Louisiana.</w:t>
      </w:r>
    </w:p>
    <w:p w14:paraId="0FA1F205" w14:textId="70B109E9" w:rsidR="00EC3F90" w:rsidRPr="005D6CBB" w:rsidRDefault="00D33943" w:rsidP="00A246B5">
      <w:pPr>
        <w:rPr>
          <w:b/>
          <w:bCs/>
        </w:rPr>
      </w:pPr>
      <w:r w:rsidRPr="005D6CBB">
        <w:rPr>
          <w:b/>
          <w:bCs/>
        </w:rPr>
        <w:t>For the Board</w:t>
      </w:r>
      <w:r w:rsidR="00EC3F90" w:rsidRPr="005D6CBB">
        <w:rPr>
          <w:b/>
          <w:bCs/>
        </w:rPr>
        <w:t>:</w:t>
      </w:r>
    </w:p>
    <w:p w14:paraId="390397FE" w14:textId="76A6662A" w:rsidR="00EC3F90" w:rsidRPr="005D6CBB" w:rsidRDefault="00EC3F90" w:rsidP="00A246B5">
      <w:pPr>
        <w:rPr>
          <w:b/>
          <w:bCs/>
        </w:rPr>
      </w:pPr>
      <w:r w:rsidRPr="005D6CBB">
        <w:rPr>
          <w:b/>
          <w:bCs/>
        </w:rPr>
        <w:t>Francis J. “Jay” Lobrano, Chairman</w:t>
      </w:r>
    </w:p>
    <w:p w14:paraId="59EACA82" w14:textId="31768B10" w:rsidR="00EC3F90" w:rsidRPr="005D6CBB" w:rsidRDefault="00EC3F90" w:rsidP="00A246B5">
      <w:pPr>
        <w:rPr>
          <w:b/>
          <w:bCs/>
        </w:rPr>
      </w:pPr>
      <w:r w:rsidRPr="005D6CBB">
        <w:rPr>
          <w:b/>
          <w:bCs/>
        </w:rPr>
        <w:t>Louisiana Board of Tax Appeals</w:t>
      </w:r>
    </w:p>
    <w:p w14:paraId="03A54237" w14:textId="77777777" w:rsidR="001B05AE" w:rsidRPr="00146B52" w:rsidRDefault="001B05AE" w:rsidP="00A246B5">
      <w:pPr>
        <w:sectPr w:rsidR="001B05AE" w:rsidRPr="00146B52" w:rsidSect="001B05AE">
          <w:footerReference w:type="default" r:id="rId7"/>
          <w:pgSz w:w="12240" w:h="20160" w:code="5"/>
          <w:pgMar w:top="1440" w:right="1440" w:bottom="1440" w:left="1440" w:header="720" w:footer="720" w:gutter="0"/>
          <w:cols w:space="720"/>
          <w:docGrid w:linePitch="360"/>
        </w:sectPr>
      </w:pPr>
    </w:p>
    <w:p w14:paraId="55691DEC" w14:textId="320F4060" w:rsidR="008D514F" w:rsidRPr="00146B52" w:rsidRDefault="00D33943" w:rsidP="00A246B5">
      <w:pPr>
        <w:pStyle w:val="Heading2"/>
      </w:pPr>
      <w:r w:rsidRPr="00146B52">
        <w:lastRenderedPageBreak/>
        <w:t>Written Reasons for Judgment</w:t>
      </w:r>
    </w:p>
    <w:p w14:paraId="6D42A371" w14:textId="7408AA74" w:rsidR="008D514F" w:rsidRPr="00146B52" w:rsidRDefault="008B7387" w:rsidP="00A246B5">
      <w:r w:rsidRPr="00146B52">
        <w:t>On February 5, 2026, this matter came before the Board for hearing on the</w:t>
      </w:r>
      <w:r w:rsidRPr="00146B52">
        <w:t xml:space="preserve"> </w:t>
      </w:r>
      <w:r w:rsidRPr="00146B52">
        <w:t xml:space="preserve">Exceptions of Prescription, </w:t>
      </w:r>
      <w:proofErr w:type="spellStart"/>
      <w:r w:rsidRPr="00146B52">
        <w:t>Peremption</w:t>
      </w:r>
      <w:proofErr w:type="spellEnd"/>
      <w:r w:rsidRPr="00146B52">
        <w:t>, and Lack of Subject Matter Jurisdiction filed</w:t>
      </w:r>
      <w:r w:rsidRPr="00146B52">
        <w:t xml:space="preserve"> </w:t>
      </w:r>
      <w:r w:rsidRPr="00146B52">
        <w:t>by the Louisiana Department of Revenue (“Department”). Presiding at the hearing</w:t>
      </w:r>
      <w:r w:rsidRPr="00146B52">
        <w:t xml:space="preserve"> </w:t>
      </w:r>
      <w:r w:rsidRPr="00146B52">
        <w:t>were Chairman Francis J. “Jay” Lobrano, Vice-Chair Judge Lisa Woodruff-White</w:t>
      </w:r>
      <w:r w:rsidRPr="00146B52">
        <w:t xml:space="preserve"> </w:t>
      </w:r>
      <w:r w:rsidRPr="00146B52">
        <w:t>(Ret.), and Board Member Michael G. Gaffney. Appearing before the Board were:</w:t>
      </w:r>
      <w:r w:rsidRPr="00146B52">
        <w:t xml:space="preserve"> </w:t>
      </w:r>
      <w:r w:rsidRPr="00146B52">
        <w:t>Bernetta Bryant, attorney for the Department, and Maria Hughes (“Petitioner”),</w:t>
      </w:r>
      <w:r w:rsidRPr="00146B52">
        <w:t xml:space="preserve"> </w:t>
      </w:r>
      <w:r w:rsidRPr="00146B52">
        <w:t>representing herself. At the conclusion of the hearing, the Board overruled the</w:t>
      </w:r>
      <w:r w:rsidRPr="00146B52">
        <w:t xml:space="preserve"> </w:t>
      </w:r>
      <w:r w:rsidRPr="00146B52">
        <w:t>Exception of Lack of Subject Matter Jurisdiction and took the remaining Exceptions</w:t>
      </w:r>
      <w:r w:rsidRPr="00146B52">
        <w:t xml:space="preserve"> </w:t>
      </w:r>
      <w:r w:rsidRPr="00146B52">
        <w:t>under advisement. The Board now issues the following Written Reasons for</w:t>
      </w:r>
      <w:r w:rsidRPr="00146B52">
        <w:t xml:space="preserve"> </w:t>
      </w:r>
      <w:r w:rsidRPr="00146B52">
        <w:t>Judgment</w:t>
      </w:r>
      <w:r w:rsidRPr="00146B52">
        <w:t>.</w:t>
      </w:r>
    </w:p>
    <w:p w14:paraId="79A7BB44" w14:textId="20D2B5FA" w:rsidR="006B0803" w:rsidRPr="00C47765" w:rsidRDefault="006B0803" w:rsidP="00A246B5">
      <w:pPr>
        <w:pStyle w:val="Heading3"/>
      </w:pPr>
      <w:r w:rsidRPr="00C47765">
        <w:t>Background</w:t>
      </w:r>
    </w:p>
    <w:p w14:paraId="05010665" w14:textId="18CCD4DF" w:rsidR="00FB2AF5" w:rsidRPr="00146B52" w:rsidRDefault="005970FD" w:rsidP="00A246B5">
      <w:r w:rsidRPr="00146B52">
        <w:t xml:space="preserve">The </w:t>
      </w:r>
      <w:r w:rsidR="00FE6E9F" w:rsidRPr="00146B52">
        <w:t>Petitioner</w:t>
      </w:r>
      <w:r w:rsidR="006B0803" w:rsidRPr="00146B52">
        <w:t xml:space="preserve"> filed her Petition with the Board on</w:t>
      </w:r>
      <w:r w:rsidR="007259BA" w:rsidRPr="00146B52">
        <w:t xml:space="preserve"> June 20, 2025.</w:t>
      </w:r>
      <w:r w:rsidR="0004474A" w:rsidRPr="00146B52">
        <w:t xml:space="preserve"> </w:t>
      </w:r>
      <w:r w:rsidRPr="00146B52">
        <w:t xml:space="preserve">The </w:t>
      </w:r>
      <w:r w:rsidR="00FE6E9F" w:rsidRPr="00146B52">
        <w:t>Petitioner</w:t>
      </w:r>
      <w:r w:rsidR="0004474A" w:rsidRPr="00146B52">
        <w:t xml:space="preserve"> </w:t>
      </w:r>
      <w:r w:rsidR="00557DC4" w:rsidRPr="00146B52">
        <w:t xml:space="preserve">seeks a </w:t>
      </w:r>
      <w:r w:rsidR="0004474A" w:rsidRPr="00146B52">
        <w:t xml:space="preserve">refund of </w:t>
      </w:r>
      <w:r w:rsidR="00F76791" w:rsidRPr="00146B52">
        <w:t xml:space="preserve">funds </w:t>
      </w:r>
      <w:r w:rsidR="0004474A" w:rsidRPr="00146B52">
        <w:t xml:space="preserve">levied by the Department </w:t>
      </w:r>
      <w:r w:rsidR="00F76791" w:rsidRPr="00146B52">
        <w:t xml:space="preserve">on the proceeds of the sale of her </w:t>
      </w:r>
      <w:r w:rsidR="0004474A" w:rsidRPr="00146B52">
        <w:t xml:space="preserve">home in 2016. </w:t>
      </w:r>
      <w:r w:rsidR="00230F03" w:rsidRPr="00146B52">
        <w:t>At some point prior to closing</w:t>
      </w:r>
      <w:r w:rsidR="00F76791" w:rsidRPr="00146B52">
        <w:t xml:space="preserve"> on the sale</w:t>
      </w:r>
      <w:r w:rsidR="00230F03" w:rsidRPr="00146B52">
        <w:t xml:space="preserve">, </w:t>
      </w:r>
      <w:r w:rsidR="00A035B1" w:rsidRPr="00146B52">
        <w:t>t</w:t>
      </w:r>
      <w:r w:rsidRPr="00146B52">
        <w:t xml:space="preserve">he </w:t>
      </w:r>
      <w:r w:rsidR="00FE6E9F" w:rsidRPr="00146B52">
        <w:t>Petitioner</w:t>
      </w:r>
      <w:r w:rsidR="0004474A" w:rsidRPr="00146B52">
        <w:t xml:space="preserve"> allegedly learned of a </w:t>
      </w:r>
      <w:proofErr w:type="gramStart"/>
      <w:r w:rsidR="0004474A" w:rsidRPr="00146B52">
        <w:t>lien</w:t>
      </w:r>
      <w:proofErr w:type="gramEnd"/>
      <w:r w:rsidR="0004474A" w:rsidRPr="00146B52">
        <w:t xml:space="preserve"> </w:t>
      </w:r>
      <w:proofErr w:type="gramStart"/>
      <w:r w:rsidR="0004474A" w:rsidRPr="00146B52">
        <w:t>by</w:t>
      </w:r>
      <w:proofErr w:type="gramEnd"/>
      <w:r w:rsidR="0004474A" w:rsidRPr="00146B52">
        <w:t xml:space="preserve"> the Department. She stated that</w:t>
      </w:r>
      <w:r w:rsidR="00F76791" w:rsidRPr="00146B52">
        <w:t xml:space="preserve">, despite the </w:t>
      </w:r>
      <w:proofErr w:type="gramStart"/>
      <w:r w:rsidR="00F76791" w:rsidRPr="00146B52">
        <w:t>lien</w:t>
      </w:r>
      <w:proofErr w:type="gramEnd"/>
      <w:r w:rsidR="00F76791" w:rsidRPr="00146B52">
        <w:t>,</w:t>
      </w:r>
      <w:r w:rsidR="0004474A" w:rsidRPr="00146B52">
        <w:t xml:space="preserve"> she had no choice but to go through with the sale </w:t>
      </w:r>
      <w:r w:rsidR="00F76791" w:rsidRPr="00146B52">
        <w:t>or she would be sued by the buyer</w:t>
      </w:r>
      <w:r w:rsidR="0004474A" w:rsidRPr="00146B52">
        <w:t xml:space="preserve">. </w:t>
      </w:r>
      <w:r w:rsidR="00F76791" w:rsidRPr="00146B52">
        <w:t xml:space="preserve">The </w:t>
      </w:r>
      <w:r w:rsidR="00FE6E9F" w:rsidRPr="00146B52">
        <w:t>Petitioner</w:t>
      </w:r>
      <w:r w:rsidR="00F76791" w:rsidRPr="00146B52">
        <w:t xml:space="preserve"> </w:t>
      </w:r>
      <w:r w:rsidR="0004474A" w:rsidRPr="00146B52">
        <w:t>attached to her Petition a “</w:t>
      </w:r>
      <w:r w:rsidR="00AE0941" w:rsidRPr="00146B52">
        <w:t>Closing Disclosure,</w:t>
      </w:r>
      <w:r w:rsidR="0004474A" w:rsidRPr="00146B52">
        <w:t>”</w:t>
      </w:r>
      <w:r w:rsidR="00AE0941" w:rsidRPr="00146B52">
        <w:t xml:space="preserve"> dated April 21, 2016, showing a lien payoff to the Department in the amount of $20,374.27. </w:t>
      </w:r>
      <w:r w:rsidRPr="00146B52">
        <w:t xml:space="preserve">The </w:t>
      </w:r>
      <w:r w:rsidR="00FE6E9F" w:rsidRPr="00146B52">
        <w:t>Petitioner</w:t>
      </w:r>
      <w:r w:rsidR="0072065B" w:rsidRPr="00146B52">
        <w:t xml:space="preserve"> </w:t>
      </w:r>
      <w:r w:rsidR="008B7387" w:rsidRPr="00146B52">
        <w:t>takes issue with the penalties and interest collected through the levy, plus the</w:t>
      </w:r>
      <w:r w:rsidR="008B7387" w:rsidRPr="00146B52">
        <w:t xml:space="preserve"> </w:t>
      </w:r>
      <w:r w:rsidR="008B7387" w:rsidRPr="00146B52">
        <w:t>underlying sales taxes attributable to the July 2008 and August 2008 tax periods</w:t>
      </w:r>
      <w:r w:rsidR="00AE0941" w:rsidRPr="00146B52">
        <w:t>.</w:t>
      </w:r>
    </w:p>
    <w:p w14:paraId="06C62493" w14:textId="0E27DD73" w:rsidR="008B7387" w:rsidRPr="00146B52" w:rsidRDefault="008B7387" w:rsidP="00A246B5">
      <w:r w:rsidRPr="00146B52">
        <w:lastRenderedPageBreak/>
        <w:t>The Department levied proceeds from the sale to collect sales tax and</w:t>
      </w:r>
      <w:r w:rsidRPr="00146B52">
        <w:t xml:space="preserve"> </w:t>
      </w:r>
      <w:r w:rsidRPr="00146B52">
        <w:t>withholding tax. These taxes were originally liabilities of Ecuadorian Floral Imports</w:t>
      </w:r>
      <w:r w:rsidRPr="00146B52">
        <w:t xml:space="preserve"> </w:t>
      </w:r>
      <w:r w:rsidRPr="00146B52">
        <w:t>LLC (“EFI”). The Department proceeded with assessment and distraint against the</w:t>
      </w:r>
      <w:r w:rsidRPr="00146B52">
        <w:t xml:space="preserve"> </w:t>
      </w:r>
      <w:r w:rsidRPr="00146B52">
        <w:t>Petitioner as a responsible officer of EFI under La. R.S. 47:1561.1.</w:t>
      </w:r>
    </w:p>
    <w:p w14:paraId="76FB4846" w14:textId="59FFA5CD" w:rsidR="008B7387" w:rsidRPr="00146B52" w:rsidRDefault="008B7387" w:rsidP="00A246B5">
      <w:r w:rsidRPr="00146B52">
        <w:t>On July 16, 2010, the Department issued a Notice of Assessment for sales tax</w:t>
      </w:r>
      <w:r w:rsidRPr="00146B52">
        <w:t xml:space="preserve"> </w:t>
      </w:r>
      <w:r w:rsidRPr="00146B52">
        <w:t>to the Petitioner (“Sales Tax Assessment”) for the tax periods ending April 30, 2008,</w:t>
      </w:r>
      <w:r w:rsidRPr="00146B52">
        <w:t xml:space="preserve"> </w:t>
      </w:r>
      <w:r w:rsidRPr="00146B52">
        <w:t>through September 30, 2009 (“Sales Tax Periods”). Also on July 16, 2010, the</w:t>
      </w:r>
      <w:r w:rsidRPr="00146B52">
        <w:t xml:space="preserve"> </w:t>
      </w:r>
      <w:r w:rsidRPr="00146B52">
        <w:t>Department issued a Notice of Assessment for withholding tax to the Petitioner</w:t>
      </w:r>
      <w:r w:rsidRPr="00146B52">
        <w:t xml:space="preserve"> </w:t>
      </w:r>
      <w:r w:rsidRPr="00146B52">
        <w:t>(“Withholding Tax Assessment”) for the tax periods ending December 31, 2007,</w:t>
      </w:r>
      <w:r w:rsidRPr="00146B52">
        <w:t xml:space="preserve"> </w:t>
      </w:r>
      <w:r w:rsidRPr="00146B52">
        <w:t>through June 30, 2008 (“Withholding Tax Periods”).</w:t>
      </w:r>
    </w:p>
    <w:p w14:paraId="1E8683FC" w14:textId="5B2F75E1" w:rsidR="008B7387" w:rsidRPr="00146B52" w:rsidRDefault="008B7387" w:rsidP="00A246B5">
      <w:r w:rsidRPr="00146B52">
        <w:t>No appeal was taken from the Withholding Tax Assessment or the Sales Tax</w:t>
      </w:r>
      <w:r w:rsidRPr="00146B52">
        <w:t xml:space="preserve"> </w:t>
      </w:r>
      <w:r w:rsidRPr="00146B52">
        <w:t>Assessment. After those assessments went final, however, the Petitioner filed sales</w:t>
      </w:r>
      <w:r w:rsidRPr="00146B52">
        <w:t xml:space="preserve"> </w:t>
      </w:r>
      <w:r w:rsidRPr="00146B52">
        <w:t>tax returns for the tax periods ending: June 30, 2009; July 31, 2009; August 31, 2009;</w:t>
      </w:r>
      <w:r w:rsidRPr="00146B52">
        <w:t xml:space="preserve"> </w:t>
      </w:r>
      <w:r w:rsidRPr="00146B52">
        <w:t>and September 30, 2009. These returns were filed between February 19, 2016, and</w:t>
      </w:r>
      <w:r w:rsidRPr="00146B52">
        <w:t xml:space="preserve"> </w:t>
      </w:r>
      <w:r w:rsidRPr="00146B52">
        <w:t>February 22, 2016. Additionally, on February 22, 2016, the Petitioner filed amended</w:t>
      </w:r>
      <w:r w:rsidRPr="00146B52">
        <w:t xml:space="preserve"> </w:t>
      </w:r>
      <w:r w:rsidRPr="00146B52">
        <w:t xml:space="preserve">sales tax returns for the tax periods ending January 31, </w:t>
      </w:r>
      <w:proofErr w:type="gramStart"/>
      <w:r w:rsidRPr="00146B52">
        <w:t>2009</w:t>
      </w:r>
      <w:proofErr w:type="gramEnd"/>
      <w:r w:rsidRPr="00146B52">
        <w:t xml:space="preserve"> and February 28, 2009.</w:t>
      </w:r>
    </w:p>
    <w:p w14:paraId="19E340AC" w14:textId="03102C91" w:rsidR="00146B52" w:rsidRPr="00146B52" w:rsidRDefault="008B7387" w:rsidP="00A246B5">
      <w:r w:rsidRPr="00146B52">
        <w:t>EFI ceased operations after 2008. Thus, the returns for the tax periods in 2009</w:t>
      </w:r>
      <w:r w:rsidRPr="00146B52">
        <w:t xml:space="preserve"> </w:t>
      </w:r>
      <w:r w:rsidRPr="00146B52">
        <w:t>reflected minimal to no business activity and effectively reduced the outstanding</w:t>
      </w:r>
      <w:r w:rsidRPr="00146B52">
        <w:t xml:space="preserve"> </w:t>
      </w:r>
      <w:r w:rsidRPr="00146B52">
        <w:t>collectible liabilities. The returns were not entered into the record, but the reduced</w:t>
      </w:r>
      <w:r w:rsidRPr="00146B52">
        <w:t xml:space="preserve"> </w:t>
      </w:r>
      <w:r w:rsidRPr="00146B52">
        <w:t>liability is evidenced by exhibits introduced by the Department. Exhibit LDR 2 is a</w:t>
      </w:r>
      <w:r w:rsidRPr="00146B52">
        <w:t xml:space="preserve"> </w:t>
      </w:r>
      <w:r w:rsidRPr="00146B52">
        <w:t>Lien Payoff Notice dated February 2, 2016 (before the returns were filed), showing</w:t>
      </w:r>
      <w:r w:rsidRPr="00146B52">
        <w:t xml:space="preserve"> </w:t>
      </w:r>
      <w:r w:rsidRPr="00146B52">
        <w:t>outstanding liability in the amount of §66,741.81. Exhibit LDR 3 is a Lien Payoff</w:t>
      </w:r>
      <w:r w:rsidRPr="00146B52">
        <w:t xml:space="preserve"> </w:t>
      </w:r>
      <w:r w:rsidRPr="00146B52">
        <w:t xml:space="preserve">Notice dated March </w:t>
      </w:r>
      <w:r w:rsidRPr="00146B52">
        <w:lastRenderedPageBreak/>
        <w:t>14, 2016 (after the returns were filed), showing a balance due of</w:t>
      </w:r>
      <w:r w:rsidR="00146B52">
        <w:t xml:space="preserve"> </w:t>
      </w:r>
      <w:r w:rsidR="0072065B" w:rsidRPr="00146B52">
        <w:t>$21</w:t>
      </w:r>
      <w:r w:rsidRPr="00146B52">
        <w:t>,</w:t>
      </w:r>
      <w:r w:rsidR="0072065B" w:rsidRPr="00146B52">
        <w:t>102</w:t>
      </w:r>
      <w:r w:rsidRPr="00146B52">
        <w:t>.55.</w:t>
      </w:r>
      <w:r w:rsidR="00550A92" w:rsidRPr="00146B52">
        <w:rPr>
          <w:rStyle w:val="FootnoteReference"/>
        </w:rPr>
        <w:footnoteReference w:id="1"/>
      </w:r>
      <w:r w:rsidRPr="00146B52">
        <w:t xml:space="preserve"> Some or </w:t>
      </w:r>
      <w:proofErr w:type="gramStart"/>
      <w:r w:rsidRPr="00146B52">
        <w:t>all of</w:t>
      </w:r>
      <w:proofErr w:type="gramEnd"/>
      <w:r w:rsidRPr="00146B52">
        <w:t xml:space="preserve"> this remaining liability would have been subsequently</w:t>
      </w:r>
      <w:r w:rsidRPr="00146B52">
        <w:t xml:space="preserve"> </w:t>
      </w:r>
      <w:r w:rsidRPr="00146B52">
        <w:t>paid off when the Department levied on the funds from the sale of the Petitioner’s</w:t>
      </w:r>
      <w:r w:rsidRPr="00146B52">
        <w:t xml:space="preserve"> </w:t>
      </w:r>
      <w:r w:rsidRPr="00146B52">
        <w:t>house</w:t>
      </w:r>
      <w:r w:rsidR="00713D6F" w:rsidRPr="00146B52">
        <w:t>.</w:t>
      </w:r>
    </w:p>
    <w:p w14:paraId="7CDD83FB" w14:textId="79FDD50D" w:rsidR="008B7387" w:rsidRPr="00146B52" w:rsidRDefault="008B7387" w:rsidP="00A246B5">
      <w:r w:rsidRPr="00146B52">
        <w:t>Separately and additionally to the Petitioner’s allegations concerning the</w:t>
      </w:r>
      <w:r w:rsidRPr="00146B52">
        <w:t xml:space="preserve"> </w:t>
      </w:r>
      <w:r w:rsidRPr="00146B52">
        <w:t>above-mentioned levy, the Petitioner challenges assessments of individual income tax</w:t>
      </w:r>
      <w:r w:rsidRPr="00146B52">
        <w:t xml:space="preserve"> </w:t>
      </w:r>
      <w:r w:rsidRPr="00146B52">
        <w:t>for 2015, 2026, 2017, and 2018. The Petitioner did not attach the assessments to her</w:t>
      </w:r>
      <w:r w:rsidRPr="00146B52">
        <w:t xml:space="preserve"> </w:t>
      </w:r>
      <w:r w:rsidRPr="00146B52">
        <w:t>Petition. However, the Department introduced the assessments as evidence in</w:t>
      </w:r>
      <w:r w:rsidRPr="00146B52">
        <w:t xml:space="preserve"> </w:t>
      </w:r>
      <w:r w:rsidRPr="00146B52">
        <w:t xml:space="preserve">support of its Exception of </w:t>
      </w:r>
      <w:proofErr w:type="spellStart"/>
      <w:r w:rsidRPr="00146B52">
        <w:t>Peremption</w:t>
      </w:r>
      <w:proofErr w:type="spellEnd"/>
      <w:r w:rsidRPr="00146B52">
        <w:t>. For 2015, the Department issued a Notice of</w:t>
      </w:r>
      <w:r w:rsidRPr="00146B52">
        <w:t xml:space="preserve"> </w:t>
      </w:r>
      <w:r w:rsidRPr="00146B52">
        <w:t>Assessment dated January 24, 2020 (“2015 Income Tax Assessment”), reflecting total</w:t>
      </w:r>
      <w:r w:rsidRPr="00146B52">
        <w:t xml:space="preserve"> </w:t>
      </w:r>
      <w:r w:rsidRPr="00146B52">
        <w:t>liabilities for tax, penalties, and interest in the amount of $3,687.90. For 2016, the</w:t>
      </w:r>
      <w:r w:rsidRPr="00146B52">
        <w:t xml:space="preserve"> </w:t>
      </w:r>
      <w:r w:rsidRPr="00146B52">
        <w:t>Department issued a Notice of Assessment dated January 24, 2020 (“2016 Income</w:t>
      </w:r>
      <w:r w:rsidRPr="00146B52">
        <w:t xml:space="preserve"> </w:t>
      </w:r>
      <w:r w:rsidRPr="00146B52">
        <w:t>Tax Assessment”), reflecting total liabilities for tax, penalties, and interest in the</w:t>
      </w:r>
      <w:r w:rsidRPr="00146B52">
        <w:t xml:space="preserve"> </w:t>
      </w:r>
      <w:r w:rsidRPr="00146B52">
        <w:t>amount of $3,133.50. For 2017, the Department issued a Notice of Assessment dated</w:t>
      </w:r>
      <w:r w:rsidRPr="00146B52">
        <w:t xml:space="preserve"> </w:t>
      </w:r>
      <w:r w:rsidRPr="00146B52">
        <w:t>August 9, 2019 (“2017 Income Tax Assessment”), reflecting total liabilities for tax,</w:t>
      </w:r>
      <w:r w:rsidRPr="00146B52">
        <w:t xml:space="preserve"> </w:t>
      </w:r>
      <w:r w:rsidRPr="00146B52">
        <w:t>penalties, and interest in the amount of §3,329.19. As mentioned above, the</w:t>
      </w:r>
      <w:r w:rsidRPr="00146B52">
        <w:t xml:space="preserve"> </w:t>
      </w:r>
      <w:r w:rsidRPr="00146B52">
        <w:t>Petitioner filed her Petition with the Board on June 20, 2025.</w:t>
      </w:r>
    </w:p>
    <w:p w14:paraId="24E97E08" w14:textId="2EB55F77" w:rsidR="00146B52" w:rsidRDefault="008B7387" w:rsidP="00A246B5">
      <w:r w:rsidRPr="00146B52">
        <w:t>With respect to the 2018 Tax Year, the Department raised the Exception of</w:t>
      </w:r>
      <w:r w:rsidRPr="00146B52">
        <w:t xml:space="preserve"> </w:t>
      </w:r>
      <w:r w:rsidRPr="00146B52">
        <w:t>Lack of Subject Matter Jurisdiction. The Department’s Exception was based on the</w:t>
      </w:r>
      <w:r w:rsidRPr="00146B52">
        <w:t xml:space="preserve"> </w:t>
      </w:r>
      <w:r w:rsidRPr="00146B52">
        <w:t xml:space="preserve">Petitioner’s self-assessment under La. R.S. </w:t>
      </w:r>
      <w:r w:rsidRPr="00146B52">
        <w:lastRenderedPageBreak/>
        <w:t>47:1568. The Board overruled the</w:t>
      </w:r>
      <w:r w:rsidRPr="00146B52">
        <w:t xml:space="preserve"> </w:t>
      </w:r>
      <w:r w:rsidRPr="00146B52">
        <w:t xml:space="preserve">Exception of Lack of Subject </w:t>
      </w:r>
      <w:r w:rsidRPr="00146B52">
        <w:t>M</w:t>
      </w:r>
      <w:r w:rsidRPr="00146B52">
        <w:t>atter Jurisdiction during the hearing.</w:t>
      </w:r>
    </w:p>
    <w:p w14:paraId="7128B6C0" w14:textId="67264359" w:rsidR="006B0803" w:rsidRPr="00146B52" w:rsidRDefault="006B0803" w:rsidP="00A246B5">
      <w:pPr>
        <w:pStyle w:val="Heading3"/>
      </w:pPr>
      <w:r w:rsidRPr="00146B52">
        <w:t>Analysis</w:t>
      </w:r>
    </w:p>
    <w:p w14:paraId="0CE0AB63" w14:textId="0D99C2DC" w:rsidR="009916D4" w:rsidRPr="00C47765" w:rsidRDefault="009916D4" w:rsidP="00A246B5">
      <w:pPr>
        <w:pStyle w:val="Heading4"/>
      </w:pPr>
      <w:r w:rsidRPr="00C47765">
        <w:t>Prescription under La. R.S. 47:1623(A)</w:t>
      </w:r>
    </w:p>
    <w:p w14:paraId="129CB91D" w14:textId="102F97D6" w:rsidR="006B0803" w:rsidRPr="00146B52" w:rsidRDefault="00E146EC" w:rsidP="008F3B43">
      <w:pPr>
        <w:spacing w:line="240" w:lineRule="auto"/>
        <w:ind w:left="720" w:right="720" w:firstLine="0"/>
      </w:pPr>
      <w:r w:rsidRPr="00146B52">
        <w:t>La. R.S. 47:1623(A) provides:</w:t>
      </w:r>
    </w:p>
    <w:p w14:paraId="7EB9A021" w14:textId="51C88FC8" w:rsidR="009916D4" w:rsidRPr="00A246B5" w:rsidRDefault="009916D4" w:rsidP="008F3B43">
      <w:pPr>
        <w:pStyle w:val="Quote"/>
        <w:jc w:val="both"/>
      </w:pPr>
      <w:r w:rsidRPr="00A246B5">
        <w:t>After three years from the 31st day of December of the year in which the tax became due or after one year from the date the tax was paid, whichever is the later, no refund or credit for an overpayment shall be made unless a claim for credit or refund has been filed with the secretary by the taxpayer claiming such credit or refund before the expiration of said three-year or one-year period. The maximum amount which shall be refunded or credited shall be the amount paid within said three-year or one-year period. The secretary shall prescribe the manner of filing claims for refund or credit.</w:t>
      </w:r>
    </w:p>
    <w:p w14:paraId="080764E7" w14:textId="626E9546" w:rsidR="00304BEE" w:rsidRPr="00A246B5" w:rsidRDefault="00304BEE" w:rsidP="00A246B5">
      <w:r w:rsidRPr="00A246B5">
        <w:t xml:space="preserve">As an initial matter, the Board notes that there is no documented refund claim in evidence. </w:t>
      </w:r>
      <w:r w:rsidR="00DF08BB" w:rsidRPr="00A246B5">
        <w:t xml:space="preserve">The Petition contains an allegation that </w:t>
      </w:r>
      <w:r w:rsidR="005970FD" w:rsidRPr="00A246B5">
        <w:t xml:space="preserve">the </w:t>
      </w:r>
      <w:r w:rsidR="00FE6E9F" w:rsidRPr="00A246B5">
        <w:t>Petitioner</w:t>
      </w:r>
      <w:r w:rsidR="00DF08BB" w:rsidRPr="00A246B5">
        <w:t xml:space="preserve"> was waiting for her money </w:t>
      </w:r>
      <w:proofErr w:type="gramStart"/>
      <w:r w:rsidR="00DF08BB" w:rsidRPr="00A246B5">
        <w:t>back, but</w:t>
      </w:r>
      <w:proofErr w:type="gramEnd"/>
      <w:r w:rsidR="005970FD" w:rsidRPr="00A246B5">
        <w:t xml:space="preserve"> contains</w:t>
      </w:r>
      <w:r w:rsidR="00DF08BB" w:rsidRPr="00A246B5">
        <w:t xml:space="preserve"> no allegation</w:t>
      </w:r>
      <w:r w:rsidR="005970FD" w:rsidRPr="00A246B5">
        <w:t>s</w:t>
      </w:r>
      <w:r w:rsidR="00DF08BB" w:rsidRPr="00A246B5">
        <w:t xml:space="preserve"> </w:t>
      </w:r>
      <w:r w:rsidR="005970FD" w:rsidRPr="00A246B5">
        <w:t xml:space="preserve">specifying </w:t>
      </w:r>
      <w:r w:rsidR="00DF08BB" w:rsidRPr="00A246B5">
        <w:t>when a</w:t>
      </w:r>
      <w:r w:rsidR="005970FD" w:rsidRPr="00A246B5">
        <w:t>ny</w:t>
      </w:r>
      <w:r w:rsidR="00DF08BB" w:rsidRPr="00A246B5">
        <w:t xml:space="preserve"> refund claim</w:t>
      </w:r>
      <w:r w:rsidR="005970FD" w:rsidRPr="00A246B5">
        <w:t>s</w:t>
      </w:r>
      <w:r w:rsidR="00DF08BB" w:rsidRPr="00A246B5">
        <w:t xml:space="preserve"> </w:t>
      </w:r>
      <w:r w:rsidR="005970FD" w:rsidRPr="00A246B5">
        <w:t>would</w:t>
      </w:r>
      <w:r w:rsidR="00146B52" w:rsidRPr="00A246B5">
        <w:t xml:space="preserve"> </w:t>
      </w:r>
      <w:r w:rsidR="005970FD" w:rsidRPr="00A246B5">
        <w:t xml:space="preserve">have been </w:t>
      </w:r>
      <w:r w:rsidR="00DF08BB" w:rsidRPr="00A246B5">
        <w:t>filed. Regardless</w:t>
      </w:r>
      <w:r w:rsidR="00ED6522" w:rsidRPr="00A246B5">
        <w:t>, the Department acknowledge</w:t>
      </w:r>
      <w:r w:rsidR="005970FD" w:rsidRPr="00A246B5">
        <w:t>d</w:t>
      </w:r>
      <w:r w:rsidR="00ED6522" w:rsidRPr="00A246B5">
        <w:t xml:space="preserve"> that the </w:t>
      </w:r>
      <w:r w:rsidR="00FE6E9F" w:rsidRPr="00A246B5">
        <w:t>Petitioner</w:t>
      </w:r>
      <w:r w:rsidR="00ED6522" w:rsidRPr="00A246B5">
        <w:t xml:space="preserve"> “filed an appeal with this Board on June 20, 2025, alleging a claim for refund regarding payment of a sales and withholding income tax levy to the Department in April 2016.”</w:t>
      </w:r>
      <w:r w:rsidR="00DF08BB" w:rsidRPr="00A246B5">
        <w:t xml:space="preserve"> Considering that</w:t>
      </w:r>
      <w:r w:rsidR="00F76791" w:rsidRPr="00A246B5">
        <w:t xml:space="preserve"> </w:t>
      </w:r>
      <w:r w:rsidR="00DF08BB" w:rsidRPr="00A246B5">
        <w:t xml:space="preserve">no refund claim has been alleged to have been filed within three years of the year in which the tax became due, or within one year of payment, any potential refund claims </w:t>
      </w:r>
      <w:r w:rsidR="00A035B1" w:rsidRPr="00A246B5">
        <w:t xml:space="preserve">contained in </w:t>
      </w:r>
      <w:r w:rsidR="00DF08BB" w:rsidRPr="00A246B5">
        <w:t>the Petition are prescribed.</w:t>
      </w:r>
    </w:p>
    <w:p w14:paraId="17518E4F" w14:textId="5B23C4D7" w:rsidR="009916D4" w:rsidRPr="00146B52" w:rsidRDefault="0072129A" w:rsidP="00A246B5">
      <w:pPr>
        <w:pStyle w:val="Heading4"/>
      </w:pPr>
      <w:proofErr w:type="spellStart"/>
      <w:r w:rsidRPr="00146B52">
        <w:t>Peremption</w:t>
      </w:r>
      <w:proofErr w:type="spellEnd"/>
      <w:r w:rsidRPr="00146B52">
        <w:t xml:space="preserve"> under La. R.S. 47:1565</w:t>
      </w:r>
    </w:p>
    <w:p w14:paraId="7AD34250" w14:textId="27085C35" w:rsidR="008056DE" w:rsidRPr="00146B52" w:rsidRDefault="008056DE" w:rsidP="00A246B5">
      <w:r w:rsidRPr="00146B52">
        <w:t>“</w:t>
      </w:r>
      <w:proofErr w:type="spellStart"/>
      <w:r w:rsidRPr="00146B52">
        <w:t>Peremption</w:t>
      </w:r>
      <w:proofErr w:type="spellEnd"/>
      <w:r w:rsidRPr="00146B52">
        <w:t xml:space="preserve"> has been likened to prescription; namely, it is prescription that is not subject to interruption or suspension.”  </w:t>
      </w:r>
      <w:r w:rsidRPr="00146B52">
        <w:rPr>
          <w:i/>
          <w:iCs/>
        </w:rPr>
        <w:t xml:space="preserve">Lomont v. </w:t>
      </w:r>
      <w:r w:rsidRPr="00146B52">
        <w:rPr>
          <w:i/>
          <w:iCs/>
        </w:rPr>
        <w:lastRenderedPageBreak/>
        <w:t>Bennett</w:t>
      </w:r>
      <w:r w:rsidRPr="00146B52">
        <w:t xml:space="preserve">, 2014-2483, p. 7 (La. 6/30/15), 172 So.3d 620, 626–27 (quoting </w:t>
      </w:r>
      <w:r w:rsidRPr="00146B52">
        <w:rPr>
          <w:i/>
          <w:iCs/>
        </w:rPr>
        <w:t>Rando v. Anco Insulations, Inc.</w:t>
      </w:r>
      <w:r w:rsidRPr="00146B52">
        <w:t xml:space="preserve">, 08–1163 (La.5/22/09), 16 So.3d 1065, 1082). Ordinarily, the </w:t>
      </w:r>
      <w:proofErr w:type="spellStart"/>
      <w:r w:rsidRPr="00146B52">
        <w:t>exceptor</w:t>
      </w:r>
      <w:proofErr w:type="spellEnd"/>
      <w:r w:rsidRPr="00146B52">
        <w:t xml:space="preserve"> bears the burden of proof at the trial of the peremptory exception. </w:t>
      </w:r>
      <w:r w:rsidRPr="00146B52">
        <w:rPr>
          <w:i/>
          <w:iCs/>
        </w:rPr>
        <w:t>Campo v. Correa</w:t>
      </w:r>
      <w:r w:rsidRPr="00146B52">
        <w:t xml:space="preserve">, 2001-2707, p. 7 (La. 6/21/02), 828 So.2d 502, 508.  However, if prescription is evident on the face of the pleadings, the burden shifts to the plaintiff to show that the action has not prescribed. </w:t>
      </w:r>
      <w:r w:rsidRPr="00146B52">
        <w:rPr>
          <w:i/>
          <w:iCs/>
        </w:rPr>
        <w:t>Lomont</w:t>
      </w:r>
      <w:r w:rsidRPr="00146B52">
        <w:t>, 2014-2483, p. 7, 172 So.3d at 627.</w:t>
      </w:r>
    </w:p>
    <w:p w14:paraId="7C8D46A0" w14:textId="4D2AB52D" w:rsidR="00FC4461" w:rsidRPr="00146B52" w:rsidRDefault="00756E19" w:rsidP="00A246B5">
      <w:r w:rsidRPr="00146B52">
        <w:t>La. R.S. 47:1565(A) and (B) provide</w:t>
      </w:r>
      <w:r w:rsidR="005970FD" w:rsidRPr="00146B52">
        <w:t xml:space="preserve"> that a taxpayer has “</w:t>
      </w:r>
      <w:r w:rsidRPr="00146B52">
        <w:t>sixty calendar days from the date of the notice to either pay the amount of the assessment or to appeal to the Board of Tax Appeals for a redetermination of the assessment.</w:t>
      </w:r>
      <w:r w:rsidR="005970FD" w:rsidRPr="00146B52">
        <w:t>” Here, n</w:t>
      </w:r>
      <w:r w:rsidRPr="00146B52">
        <w:t xml:space="preserve">one of the assessments were issued later than January 24, 2020. The </w:t>
      </w:r>
      <w:r w:rsidR="00FE6E9F" w:rsidRPr="00146B52">
        <w:t>Petitioner</w:t>
      </w:r>
      <w:r w:rsidRPr="00146B52">
        <w:t xml:space="preserve"> did not file her Petition until June 20, 2025. </w:t>
      </w:r>
      <w:r w:rsidR="00907AFA" w:rsidRPr="00146B52">
        <w:t xml:space="preserve">Her </w:t>
      </w:r>
      <w:r w:rsidR="00F76791" w:rsidRPr="00146B52">
        <w:t xml:space="preserve">challenges </w:t>
      </w:r>
      <w:proofErr w:type="gramStart"/>
      <w:r w:rsidR="00F76791" w:rsidRPr="00146B52">
        <w:t>to</w:t>
      </w:r>
      <w:proofErr w:type="gramEnd"/>
      <w:r w:rsidR="00F76791" w:rsidRPr="00146B52">
        <w:t xml:space="preserve"> the assessments are</w:t>
      </w:r>
      <w:r w:rsidR="00907AFA" w:rsidRPr="00146B52">
        <w:t xml:space="preserve"> therefore </w:t>
      </w:r>
      <w:r w:rsidR="00F76791" w:rsidRPr="00146B52">
        <w:t xml:space="preserve">facially </w:t>
      </w:r>
      <w:r w:rsidR="00A035B1" w:rsidRPr="00146B52">
        <w:t>prescribed.</w:t>
      </w:r>
      <w:r w:rsidR="00907AFA" w:rsidRPr="00146B52">
        <w:t xml:space="preserve"> </w:t>
      </w:r>
    </w:p>
    <w:p w14:paraId="3AFE5E6B" w14:textId="1831F1E5" w:rsidR="0016729F" w:rsidRPr="00146B52" w:rsidRDefault="00226C37" w:rsidP="00A246B5">
      <w:r w:rsidRPr="00146B52">
        <w:t>T</w:t>
      </w:r>
      <w:r w:rsidR="00756E19" w:rsidRPr="00146B52">
        <w:t xml:space="preserve">he </w:t>
      </w:r>
      <w:r w:rsidR="00FE6E9F" w:rsidRPr="00146B52">
        <w:t>Petitioner</w:t>
      </w:r>
      <w:r w:rsidR="00756E19" w:rsidRPr="00146B52">
        <w:t xml:space="preserve"> testi</w:t>
      </w:r>
      <w:r w:rsidR="00907AFA" w:rsidRPr="00146B52">
        <w:t>fied that she was not aware of the Sales Tax Assessment or the Withholding Tax Assessment until 2016</w:t>
      </w:r>
      <w:r w:rsidR="008056DE" w:rsidRPr="00146B52">
        <w:t xml:space="preserve">. </w:t>
      </w:r>
      <w:r w:rsidR="005970FD" w:rsidRPr="00146B52">
        <w:t>T</w:t>
      </w:r>
      <w:r w:rsidR="0016729F" w:rsidRPr="00146B52">
        <w:t xml:space="preserve">he Board </w:t>
      </w:r>
      <w:r w:rsidR="005970FD" w:rsidRPr="00146B52">
        <w:t xml:space="preserve">recognizes the </w:t>
      </w:r>
      <w:r w:rsidR="00FE6E9F" w:rsidRPr="00146B52">
        <w:t>Petitioner</w:t>
      </w:r>
      <w:r w:rsidR="0016729F" w:rsidRPr="00146B52">
        <w:t>’s frustration with the Department’s response to her attempts to discuss the issues. During her testimony,</w:t>
      </w:r>
      <w:r w:rsidR="005970FD" w:rsidRPr="00146B52">
        <w:t xml:space="preserve"> the</w:t>
      </w:r>
      <w:r w:rsidR="0016729F" w:rsidRPr="00146B52">
        <w:t xml:space="preserve"> </w:t>
      </w:r>
      <w:r w:rsidR="00FE6E9F" w:rsidRPr="00146B52">
        <w:t>Petitioner</w:t>
      </w:r>
      <w:r w:rsidR="0016729F" w:rsidRPr="00146B52">
        <w:t xml:space="preserve"> described how her attempts to speak to someone about her individual liabilities were redirected to the Department’s business tax division, and that her attempts to contact the business tax division went to a PO box and were not responded to. </w:t>
      </w:r>
    </w:p>
    <w:p w14:paraId="6A282569" w14:textId="64BBD9EB" w:rsidR="006B0803" w:rsidRPr="00146B52" w:rsidRDefault="008056DE" w:rsidP="00A246B5">
      <w:r w:rsidRPr="00146B52">
        <w:t>However,</w:t>
      </w:r>
      <w:r w:rsidR="00907AFA" w:rsidRPr="00146B52">
        <w:t xml:space="preserve"> </w:t>
      </w:r>
      <w:r w:rsidR="0016729F" w:rsidRPr="00146B52">
        <w:t xml:space="preserve">the </w:t>
      </w:r>
      <w:r w:rsidR="00FE6E9F" w:rsidRPr="00146B52">
        <w:t>Petitioner</w:t>
      </w:r>
      <w:r w:rsidR="0016729F" w:rsidRPr="00146B52">
        <w:t xml:space="preserve"> did </w:t>
      </w:r>
      <w:r w:rsidR="00756E19" w:rsidRPr="00146B52">
        <w:t xml:space="preserve">not </w:t>
      </w:r>
      <w:proofErr w:type="gramStart"/>
      <w:r w:rsidR="00907AFA" w:rsidRPr="00146B52">
        <w:t>introduce</w:t>
      </w:r>
      <w:proofErr w:type="gramEnd"/>
      <w:r w:rsidR="00907AFA" w:rsidRPr="00146B52">
        <w:t xml:space="preserve"> any evidence to show that the Department failed to adhere to the statutory procedures for assessment and distraint. </w:t>
      </w:r>
      <w:r w:rsidR="00FC4461" w:rsidRPr="00146B52">
        <w:rPr>
          <w:i/>
          <w:iCs/>
        </w:rPr>
        <w:t>See Catahoula Par. Sch. Bd. v. Louisiana Mach. Rentals, LLC</w:t>
      </w:r>
      <w:r w:rsidR="00FC4461" w:rsidRPr="00146B52">
        <w:t xml:space="preserve">, 2012-2504, p. 16 (La. 10/15/13), 124 So.3d 1065, 1076 (requiring strict adherence to statutory requirements for perfecting final assessment). </w:t>
      </w:r>
      <w:r w:rsidR="007A5857" w:rsidRPr="00146B52">
        <w:lastRenderedPageBreak/>
        <w:t xml:space="preserve">The </w:t>
      </w:r>
      <w:r w:rsidR="0016729F" w:rsidRPr="00146B52">
        <w:t xml:space="preserve">Department introduced comprehensive documentation showing that it followed the assessment and distraint procedure under La. R.S. 47:1565. </w:t>
      </w:r>
      <w:r w:rsidRPr="00146B52">
        <w:t>Accordingly, the</w:t>
      </w:r>
      <w:r w:rsidR="00A035B1" w:rsidRPr="00146B52">
        <w:t xml:space="preserve"> Board finds </w:t>
      </w:r>
      <w:r w:rsidR="00CE08ED" w:rsidRPr="00146B52">
        <w:t xml:space="preserve">that the Withholding Tax Assessment, Sales Tax Assessment, 2015 Income Tax Assessment, 2016 Income Tax Assessment, and 2017 Income Tax Assessment </w:t>
      </w:r>
      <w:r w:rsidR="00A035B1" w:rsidRPr="00146B52">
        <w:t>were</w:t>
      </w:r>
      <w:r w:rsidR="00CE08ED" w:rsidRPr="00146B52">
        <w:t xml:space="preserve"> all</w:t>
      </w:r>
      <w:r w:rsidR="00A035B1" w:rsidRPr="00146B52">
        <w:t xml:space="preserve"> validly</w:t>
      </w:r>
      <w:r w:rsidR="00CE08ED" w:rsidRPr="00146B52">
        <w:t xml:space="preserve"> issued under the law. The </w:t>
      </w:r>
      <w:r w:rsidR="00FE6E9F" w:rsidRPr="00146B52">
        <w:t>Petitioner</w:t>
      </w:r>
      <w:r w:rsidR="00CE08ED" w:rsidRPr="00146B52">
        <w:t xml:space="preserve">’s right to </w:t>
      </w:r>
      <w:r w:rsidRPr="00146B52">
        <w:t xml:space="preserve">appeal for redetermination </w:t>
      </w:r>
      <w:r w:rsidR="00CE08ED" w:rsidRPr="00146B52">
        <w:t>of said assessments prescribed sixty days after their respective issuance dates.</w:t>
      </w:r>
    </w:p>
    <w:p w14:paraId="5146FAA6" w14:textId="12085A1C" w:rsidR="006B0803" w:rsidRPr="00146B52" w:rsidRDefault="006B0803" w:rsidP="00A246B5">
      <w:pPr>
        <w:pStyle w:val="Heading3"/>
      </w:pPr>
      <w:r w:rsidRPr="00146B52">
        <w:t>Conclusion</w:t>
      </w:r>
    </w:p>
    <w:p w14:paraId="3F22D2E0" w14:textId="16376DF6" w:rsidR="00E146EC" w:rsidRPr="00146B52" w:rsidRDefault="00E146EC" w:rsidP="00A246B5">
      <w:r w:rsidRPr="00146B52">
        <w:t>For the above reasons, the Board finds that</w:t>
      </w:r>
      <w:r w:rsidR="007A5857" w:rsidRPr="00146B52">
        <w:t xml:space="preserve"> the Exceptions of Prescription and </w:t>
      </w:r>
      <w:proofErr w:type="spellStart"/>
      <w:r w:rsidR="007A5857" w:rsidRPr="00146B52">
        <w:t>Peremption</w:t>
      </w:r>
      <w:proofErr w:type="spellEnd"/>
      <w:r w:rsidR="007A5857" w:rsidRPr="00146B52">
        <w:t xml:space="preserve"> have merit. </w:t>
      </w:r>
      <w:r w:rsidR="005970FD" w:rsidRPr="00146B52">
        <w:t xml:space="preserve">The </w:t>
      </w:r>
      <w:r w:rsidR="00FE6E9F" w:rsidRPr="00146B52">
        <w:t>Petitioner</w:t>
      </w:r>
      <w:r w:rsidR="007A5857" w:rsidRPr="00146B52">
        <w:t xml:space="preserve"> has failed to show that she filed any refund claims for withholding or sales tax within three years from the year taxes became due, or within one year of any payment.</w:t>
      </w:r>
      <w:r w:rsidR="0016729F" w:rsidRPr="00146B52">
        <w:t xml:space="preserve"> </w:t>
      </w:r>
      <w:r w:rsidR="00F76791" w:rsidRPr="00146B52">
        <w:t>A</w:t>
      </w:r>
      <w:r w:rsidR="0016729F" w:rsidRPr="00146B52">
        <w:t>dditionally</w:t>
      </w:r>
      <w:r w:rsidR="00F76791" w:rsidRPr="00146B52">
        <w:t xml:space="preserve">, except for the 2018 individual income tax year, </w:t>
      </w:r>
      <w:r w:rsidR="00CE08ED" w:rsidRPr="00146B52">
        <w:t xml:space="preserve">the </w:t>
      </w:r>
      <w:r w:rsidR="00FE6E9F" w:rsidRPr="00146B52">
        <w:t>Petitioner</w:t>
      </w:r>
      <w:r w:rsidR="0016729F" w:rsidRPr="00146B52">
        <w:t xml:space="preserve"> </w:t>
      </w:r>
      <w:r w:rsidR="007A5857" w:rsidRPr="00146B52">
        <w:t>failed to</w:t>
      </w:r>
      <w:r w:rsidR="0016729F" w:rsidRPr="00146B52">
        <w:t xml:space="preserve"> timely appeal from any of the assessments at issue. </w:t>
      </w:r>
      <w:r w:rsidR="00CE08ED" w:rsidRPr="00146B52">
        <w:t>Nevertheless</w:t>
      </w:r>
      <w:r w:rsidR="001C6E9B" w:rsidRPr="00146B52">
        <w:t xml:space="preserve">, because the Board overruled the Department’s Exception of Lack of Subject Matter Jurisdiction, the </w:t>
      </w:r>
      <w:r w:rsidR="00FE6E9F" w:rsidRPr="00146B52">
        <w:t>Petitioner</w:t>
      </w:r>
      <w:r w:rsidR="001C6E9B" w:rsidRPr="00146B52">
        <w:t xml:space="preserve">’s </w:t>
      </w:r>
      <w:r w:rsidR="00F76791" w:rsidRPr="00146B52">
        <w:t xml:space="preserve">claims as </w:t>
      </w:r>
      <w:r w:rsidR="001C6E9B" w:rsidRPr="00146B52">
        <w:t xml:space="preserve">to </w:t>
      </w:r>
      <w:r w:rsidR="00F76791" w:rsidRPr="00146B52">
        <w:t xml:space="preserve">the </w:t>
      </w:r>
      <w:r w:rsidR="001C6E9B" w:rsidRPr="00146B52">
        <w:t xml:space="preserve">2018 individual income tax </w:t>
      </w:r>
      <w:r w:rsidR="00F76791" w:rsidRPr="00146B52">
        <w:t xml:space="preserve">year have </w:t>
      </w:r>
      <w:r w:rsidR="001C6E9B" w:rsidRPr="00146B52">
        <w:t xml:space="preserve">not been dismissed. </w:t>
      </w:r>
      <w:r w:rsidR="005970FD" w:rsidRPr="00146B52">
        <w:t xml:space="preserve">This matter will accordingly proceed </w:t>
      </w:r>
      <w:proofErr w:type="gramStart"/>
      <w:r w:rsidR="005970FD" w:rsidRPr="00146B52">
        <w:t>on</w:t>
      </w:r>
      <w:proofErr w:type="gramEnd"/>
      <w:r w:rsidR="005970FD" w:rsidRPr="00146B52">
        <w:t xml:space="preserve"> </w:t>
      </w:r>
      <w:r w:rsidR="00CE08ED" w:rsidRPr="00146B52">
        <w:t>that</w:t>
      </w:r>
      <w:r w:rsidR="005970FD" w:rsidRPr="00146B52">
        <w:t xml:space="preserve"> remaining claim. </w:t>
      </w:r>
    </w:p>
    <w:p w14:paraId="59D1DBF7" w14:textId="5913521E" w:rsidR="005970FD" w:rsidRPr="00A246B5" w:rsidRDefault="005970FD" w:rsidP="00A246B5">
      <w:pPr>
        <w:rPr>
          <w:b/>
          <w:bCs/>
        </w:rPr>
      </w:pPr>
      <w:r w:rsidRPr="00A246B5">
        <w:rPr>
          <w:b/>
          <w:bCs/>
        </w:rPr>
        <w:t xml:space="preserve">Signed at Baton Rouge, Louisiana, this </w:t>
      </w:r>
      <w:r w:rsidR="008A0FA1" w:rsidRPr="00A246B5">
        <w:rPr>
          <w:b/>
          <w:bCs/>
        </w:rPr>
        <w:t>1</w:t>
      </w:r>
      <w:r w:rsidR="008A0FA1" w:rsidRPr="00A246B5">
        <w:rPr>
          <w:b/>
          <w:bCs/>
          <w:vertAlign w:val="superscript"/>
        </w:rPr>
        <w:t>st</w:t>
      </w:r>
      <w:r w:rsidR="008A0FA1" w:rsidRPr="00A246B5">
        <w:rPr>
          <w:b/>
          <w:bCs/>
        </w:rPr>
        <w:t xml:space="preserve"> </w:t>
      </w:r>
      <w:r w:rsidRPr="00A246B5">
        <w:rPr>
          <w:b/>
          <w:bCs/>
        </w:rPr>
        <w:t xml:space="preserve">day of </w:t>
      </w:r>
      <w:proofErr w:type="gramStart"/>
      <w:r w:rsidR="008A0FA1" w:rsidRPr="00A246B5">
        <w:rPr>
          <w:b/>
          <w:bCs/>
        </w:rPr>
        <w:t>April</w:t>
      </w:r>
      <w:r w:rsidRPr="00A246B5">
        <w:rPr>
          <w:b/>
          <w:bCs/>
        </w:rPr>
        <w:t>,</w:t>
      </w:r>
      <w:proofErr w:type="gramEnd"/>
      <w:r w:rsidRPr="00A246B5">
        <w:rPr>
          <w:b/>
          <w:bCs/>
        </w:rPr>
        <w:t xml:space="preserve"> 2026.</w:t>
      </w:r>
    </w:p>
    <w:p w14:paraId="58095958" w14:textId="247A0A18" w:rsidR="00EC3F90" w:rsidRPr="00A246B5" w:rsidRDefault="00D33943" w:rsidP="00A246B5">
      <w:pPr>
        <w:rPr>
          <w:b/>
          <w:bCs/>
        </w:rPr>
      </w:pPr>
      <w:r w:rsidRPr="00A246B5">
        <w:rPr>
          <w:b/>
          <w:bCs/>
        </w:rPr>
        <w:t>For the Board</w:t>
      </w:r>
      <w:r w:rsidR="00EC3F90" w:rsidRPr="00A246B5">
        <w:rPr>
          <w:b/>
          <w:bCs/>
        </w:rPr>
        <w:t>:</w:t>
      </w:r>
    </w:p>
    <w:p w14:paraId="59F69761" w14:textId="3B4EA949" w:rsidR="00EC3F90" w:rsidRPr="00A246B5" w:rsidRDefault="00EC3F90" w:rsidP="00A246B5">
      <w:pPr>
        <w:rPr>
          <w:b/>
          <w:bCs/>
        </w:rPr>
      </w:pPr>
      <w:r w:rsidRPr="00A246B5">
        <w:rPr>
          <w:b/>
          <w:bCs/>
        </w:rPr>
        <w:t>Francis J. “Jay” Lobrano, Chairman</w:t>
      </w:r>
    </w:p>
    <w:p w14:paraId="641A3E9A" w14:textId="7137969C" w:rsidR="00EC3F90" w:rsidRPr="00A246B5" w:rsidRDefault="00EC3F90" w:rsidP="00A246B5">
      <w:pPr>
        <w:rPr>
          <w:b/>
          <w:bCs/>
        </w:rPr>
      </w:pPr>
      <w:r w:rsidRPr="00A246B5">
        <w:rPr>
          <w:b/>
          <w:bCs/>
        </w:rPr>
        <w:t>Louisiana Board of Tax Appeals</w:t>
      </w:r>
    </w:p>
    <w:p w14:paraId="42897056" w14:textId="77777777" w:rsidR="005970FD" w:rsidRPr="00146B52" w:rsidRDefault="005970FD" w:rsidP="00A246B5"/>
    <w:sectPr w:rsidR="005970FD" w:rsidRPr="00146B52" w:rsidSect="00512C1F">
      <w:pgSz w:w="12240" w:h="20160" w:code="5"/>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4B45E" w14:textId="77777777" w:rsidR="001B05AE" w:rsidRDefault="001B05AE" w:rsidP="00A246B5">
      <w:r>
        <w:separator/>
      </w:r>
    </w:p>
  </w:endnote>
  <w:endnote w:type="continuationSeparator" w:id="0">
    <w:p w14:paraId="337941D4" w14:textId="77777777" w:rsidR="001B05AE" w:rsidRDefault="001B05AE" w:rsidP="00A24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0363890"/>
      <w:docPartObj>
        <w:docPartGallery w:val="Page Numbers (Bottom of Page)"/>
        <w:docPartUnique/>
      </w:docPartObj>
    </w:sdtPr>
    <w:sdtEndPr>
      <w:rPr>
        <w:noProof/>
      </w:rPr>
    </w:sdtEndPr>
    <w:sdtContent>
      <w:p w14:paraId="144FC2CD" w14:textId="5FEF166D" w:rsidR="001B05AE" w:rsidRPr="00B337D0" w:rsidRDefault="001B05AE" w:rsidP="00A246B5">
        <w:pPr>
          <w:pStyle w:val="Footer"/>
          <w:spacing w:after="0"/>
          <w:ind w:firstLine="0"/>
          <w:jc w:val="center"/>
        </w:pPr>
        <w:r w:rsidRPr="00B337D0">
          <w:fldChar w:fldCharType="begin"/>
        </w:r>
        <w:r w:rsidRPr="00B337D0">
          <w:instrText xml:space="preserve"> PAGE   \* MERGEFORMAT </w:instrText>
        </w:r>
        <w:r w:rsidRPr="00B337D0">
          <w:fldChar w:fldCharType="separate"/>
        </w:r>
        <w:r w:rsidRPr="00B337D0">
          <w:rPr>
            <w:noProof/>
          </w:rPr>
          <w:t>2</w:t>
        </w:r>
        <w:r w:rsidRPr="00B337D0">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6448D" w14:textId="77777777" w:rsidR="001B05AE" w:rsidRDefault="001B05AE" w:rsidP="00A246B5">
      <w:r>
        <w:separator/>
      </w:r>
    </w:p>
  </w:footnote>
  <w:footnote w:type="continuationSeparator" w:id="0">
    <w:p w14:paraId="0797F427" w14:textId="77777777" w:rsidR="001B05AE" w:rsidRDefault="001B05AE" w:rsidP="00A246B5">
      <w:r>
        <w:continuationSeparator/>
      </w:r>
    </w:p>
  </w:footnote>
  <w:footnote w:id="1">
    <w:p w14:paraId="32030916" w14:textId="2ABAB3D6" w:rsidR="00550A92" w:rsidRPr="00550A92" w:rsidRDefault="00550A92" w:rsidP="00A246B5">
      <w:pPr>
        <w:pStyle w:val="FootnoteText"/>
      </w:pPr>
      <w:r w:rsidRPr="00550A92">
        <w:rPr>
          <w:rStyle w:val="FootnoteReference"/>
          <w:sz w:val="24"/>
          <w:szCs w:val="24"/>
        </w:rPr>
        <w:footnoteRef/>
      </w:r>
      <w:r w:rsidRPr="00550A92">
        <w:t xml:space="preserve"> A total reduction in the amount of $45,639.26.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DF4"/>
    <w:rsid w:val="0004474A"/>
    <w:rsid w:val="00053AC8"/>
    <w:rsid w:val="000A4484"/>
    <w:rsid w:val="000F1AF0"/>
    <w:rsid w:val="000F3F9E"/>
    <w:rsid w:val="00145AC2"/>
    <w:rsid w:val="00146B52"/>
    <w:rsid w:val="0016729F"/>
    <w:rsid w:val="001B05AE"/>
    <w:rsid w:val="001C2B84"/>
    <w:rsid w:val="001C6E9B"/>
    <w:rsid w:val="0021406A"/>
    <w:rsid w:val="00226C37"/>
    <w:rsid w:val="00230F03"/>
    <w:rsid w:val="002363AD"/>
    <w:rsid w:val="0027059C"/>
    <w:rsid w:val="0027664D"/>
    <w:rsid w:val="00277EA3"/>
    <w:rsid w:val="002B2731"/>
    <w:rsid w:val="002F7C09"/>
    <w:rsid w:val="00304BEE"/>
    <w:rsid w:val="00307296"/>
    <w:rsid w:val="00316ECF"/>
    <w:rsid w:val="00324BD9"/>
    <w:rsid w:val="00396B7E"/>
    <w:rsid w:val="003A15D4"/>
    <w:rsid w:val="003B1175"/>
    <w:rsid w:val="003C51A5"/>
    <w:rsid w:val="0046513B"/>
    <w:rsid w:val="00470C10"/>
    <w:rsid w:val="004E02DC"/>
    <w:rsid w:val="00512C1F"/>
    <w:rsid w:val="00550A92"/>
    <w:rsid w:val="00557DC4"/>
    <w:rsid w:val="0059052E"/>
    <w:rsid w:val="0059193F"/>
    <w:rsid w:val="005970FD"/>
    <w:rsid w:val="005D6CBB"/>
    <w:rsid w:val="00615A80"/>
    <w:rsid w:val="00662C77"/>
    <w:rsid w:val="00677A42"/>
    <w:rsid w:val="006958BF"/>
    <w:rsid w:val="006B0803"/>
    <w:rsid w:val="006E56CE"/>
    <w:rsid w:val="006F4954"/>
    <w:rsid w:val="00713D6F"/>
    <w:rsid w:val="0072065B"/>
    <w:rsid w:val="0072129A"/>
    <w:rsid w:val="007259BA"/>
    <w:rsid w:val="00754888"/>
    <w:rsid w:val="00756E19"/>
    <w:rsid w:val="007A5857"/>
    <w:rsid w:val="007C3A49"/>
    <w:rsid w:val="008056DE"/>
    <w:rsid w:val="00827000"/>
    <w:rsid w:val="0084290E"/>
    <w:rsid w:val="008810A5"/>
    <w:rsid w:val="00894A75"/>
    <w:rsid w:val="008A0FA1"/>
    <w:rsid w:val="008B7387"/>
    <w:rsid w:val="008D1A5D"/>
    <w:rsid w:val="008D514F"/>
    <w:rsid w:val="008E721C"/>
    <w:rsid w:val="008F3B43"/>
    <w:rsid w:val="00907AFA"/>
    <w:rsid w:val="00943A0C"/>
    <w:rsid w:val="0095008A"/>
    <w:rsid w:val="00961038"/>
    <w:rsid w:val="009916D4"/>
    <w:rsid w:val="00A035B1"/>
    <w:rsid w:val="00A246B5"/>
    <w:rsid w:val="00A81951"/>
    <w:rsid w:val="00A90386"/>
    <w:rsid w:val="00AD1055"/>
    <w:rsid w:val="00AE0941"/>
    <w:rsid w:val="00B13230"/>
    <w:rsid w:val="00B337D0"/>
    <w:rsid w:val="00BD26D6"/>
    <w:rsid w:val="00C47765"/>
    <w:rsid w:val="00C627B5"/>
    <w:rsid w:val="00C643CD"/>
    <w:rsid w:val="00C85A71"/>
    <w:rsid w:val="00CA191C"/>
    <w:rsid w:val="00CB2B24"/>
    <w:rsid w:val="00CE08ED"/>
    <w:rsid w:val="00CE5B5C"/>
    <w:rsid w:val="00D33943"/>
    <w:rsid w:val="00DE54C8"/>
    <w:rsid w:val="00DE670A"/>
    <w:rsid w:val="00DF08BB"/>
    <w:rsid w:val="00E146EC"/>
    <w:rsid w:val="00E25859"/>
    <w:rsid w:val="00E7505B"/>
    <w:rsid w:val="00EA7AB5"/>
    <w:rsid w:val="00EC3F90"/>
    <w:rsid w:val="00ED6522"/>
    <w:rsid w:val="00EE2DF4"/>
    <w:rsid w:val="00F7023D"/>
    <w:rsid w:val="00F76791"/>
    <w:rsid w:val="00F92CB9"/>
    <w:rsid w:val="00FB2AF5"/>
    <w:rsid w:val="00FB396C"/>
    <w:rsid w:val="00FC4461"/>
    <w:rsid w:val="00FD0036"/>
    <w:rsid w:val="00FE6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3F61A4A"/>
  <w15:chartTrackingRefBased/>
  <w15:docId w15:val="{8F899E26-D945-4B77-A596-6244162C1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6B5"/>
    <w:pPr>
      <w:spacing w:after="240" w:line="480" w:lineRule="auto"/>
      <w:ind w:firstLine="720"/>
    </w:pPr>
    <w:rPr>
      <w:rFonts w:ascii="Arial" w:hAnsi="Arial" w:cs="Arial"/>
      <w:sz w:val="28"/>
      <w:szCs w:val="28"/>
    </w:rPr>
  </w:style>
  <w:style w:type="paragraph" w:styleId="Heading1">
    <w:name w:val="heading 1"/>
    <w:basedOn w:val="Normal"/>
    <w:next w:val="Normal"/>
    <w:link w:val="Heading1Char"/>
    <w:uiPriority w:val="9"/>
    <w:qFormat/>
    <w:rsid w:val="00C47765"/>
    <w:pPr>
      <w:outlineLvl w:val="0"/>
    </w:pPr>
    <w:rPr>
      <w:b/>
    </w:rPr>
  </w:style>
  <w:style w:type="paragraph" w:styleId="Heading2">
    <w:name w:val="heading 2"/>
    <w:basedOn w:val="Normal"/>
    <w:next w:val="Normal"/>
    <w:link w:val="Heading2Char"/>
    <w:uiPriority w:val="9"/>
    <w:unhideWhenUsed/>
    <w:qFormat/>
    <w:rsid w:val="00C47765"/>
    <w:pPr>
      <w:keepNext/>
      <w:keepLines/>
      <w:spacing w:before="100" w:beforeAutospacing="1" w:after="100" w:afterAutospacing="1"/>
      <w:outlineLvl w:val="1"/>
    </w:pPr>
    <w:rPr>
      <w:rFonts w:eastAsiaTheme="majorEastAsia"/>
      <w:b/>
      <w:iCs/>
    </w:rPr>
  </w:style>
  <w:style w:type="paragraph" w:styleId="Heading3">
    <w:name w:val="heading 3"/>
    <w:basedOn w:val="Heading2"/>
    <w:next w:val="Normal"/>
    <w:link w:val="Heading3Char"/>
    <w:uiPriority w:val="9"/>
    <w:unhideWhenUsed/>
    <w:qFormat/>
    <w:rsid w:val="00C47765"/>
    <w:pPr>
      <w:outlineLvl w:val="2"/>
    </w:pPr>
  </w:style>
  <w:style w:type="paragraph" w:styleId="Heading4">
    <w:name w:val="heading 4"/>
    <w:basedOn w:val="Heading3"/>
    <w:next w:val="Normal"/>
    <w:link w:val="Heading4Char"/>
    <w:uiPriority w:val="9"/>
    <w:unhideWhenUsed/>
    <w:qFormat/>
    <w:rsid w:val="00C47765"/>
    <w:pPr>
      <w:outlineLvl w:val="3"/>
    </w:pPr>
  </w:style>
  <w:style w:type="paragraph" w:styleId="Heading5">
    <w:name w:val="heading 5"/>
    <w:basedOn w:val="Normal"/>
    <w:next w:val="Normal"/>
    <w:link w:val="Heading5Char"/>
    <w:uiPriority w:val="9"/>
    <w:semiHidden/>
    <w:unhideWhenUsed/>
    <w:qFormat/>
    <w:rsid w:val="00EE2DF4"/>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EE2DF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E2DF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E2DF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E2DF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7765"/>
    <w:rPr>
      <w:rFonts w:ascii="Arial" w:hAnsi="Arial" w:cs="Arial"/>
      <w:b/>
      <w:sz w:val="28"/>
      <w:szCs w:val="28"/>
    </w:rPr>
  </w:style>
  <w:style w:type="character" w:customStyle="1" w:styleId="Heading2Char">
    <w:name w:val="Heading 2 Char"/>
    <w:basedOn w:val="DefaultParagraphFont"/>
    <w:link w:val="Heading2"/>
    <w:uiPriority w:val="9"/>
    <w:rsid w:val="00C47765"/>
    <w:rPr>
      <w:rFonts w:ascii="Arial" w:eastAsiaTheme="majorEastAsia" w:hAnsi="Arial" w:cs="Arial"/>
      <w:b/>
      <w:iCs/>
      <w:sz w:val="28"/>
      <w:szCs w:val="28"/>
    </w:rPr>
  </w:style>
  <w:style w:type="paragraph" w:styleId="NoSpacing">
    <w:name w:val="No Spacing"/>
    <w:basedOn w:val="Subtitle"/>
    <w:uiPriority w:val="1"/>
    <w:qFormat/>
    <w:rsid w:val="00CE5B5C"/>
    <w:pPr>
      <w:numPr>
        <w:ilvl w:val="0"/>
      </w:numPr>
      <w:spacing w:after="0" w:line="240" w:lineRule="auto"/>
      <w:ind w:firstLine="720"/>
      <w:jc w:val="center"/>
      <w:outlineLvl w:val="1"/>
    </w:pPr>
    <w:rPr>
      <w:rFonts w:ascii="Aptos Display" w:eastAsia="Times New Roman" w:hAnsi="Aptos Display" w:cs="Times New Roman"/>
      <w:color w:val="auto"/>
      <w:spacing w:val="-5"/>
      <w:kern w:val="0"/>
      <w:sz w:val="24"/>
      <w:szCs w:val="24"/>
      <w14:ligatures w14:val="none"/>
    </w:rPr>
  </w:style>
  <w:style w:type="paragraph" w:styleId="Subtitle">
    <w:name w:val="Subtitle"/>
    <w:basedOn w:val="Normal"/>
    <w:next w:val="Normal"/>
    <w:link w:val="SubtitleChar"/>
    <w:uiPriority w:val="11"/>
    <w:qFormat/>
    <w:rsid w:val="00CE5B5C"/>
    <w:pPr>
      <w:numPr>
        <w:ilvl w:val="1"/>
      </w:numPr>
      <w:spacing w:after="160"/>
      <w:ind w:firstLine="72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CE5B5C"/>
    <w:rPr>
      <w:rFonts w:eastAsiaTheme="majorEastAsia" w:cstheme="majorBidi"/>
      <w:color w:val="595959" w:themeColor="text1" w:themeTint="A6"/>
      <w:spacing w:val="15"/>
      <w:sz w:val="28"/>
      <w:szCs w:val="28"/>
    </w:rPr>
  </w:style>
  <w:style w:type="character" w:customStyle="1" w:styleId="Heading3Char">
    <w:name w:val="Heading 3 Char"/>
    <w:basedOn w:val="DefaultParagraphFont"/>
    <w:link w:val="Heading3"/>
    <w:uiPriority w:val="9"/>
    <w:rsid w:val="00C47765"/>
    <w:rPr>
      <w:rFonts w:ascii="Arial" w:eastAsiaTheme="majorEastAsia" w:hAnsi="Arial" w:cs="Arial"/>
      <w:b/>
      <w:iCs/>
      <w:sz w:val="28"/>
      <w:szCs w:val="28"/>
    </w:rPr>
  </w:style>
  <w:style w:type="character" w:customStyle="1" w:styleId="Heading4Char">
    <w:name w:val="Heading 4 Char"/>
    <w:basedOn w:val="DefaultParagraphFont"/>
    <w:link w:val="Heading4"/>
    <w:uiPriority w:val="9"/>
    <w:rsid w:val="00C47765"/>
    <w:rPr>
      <w:rFonts w:ascii="Arial" w:eastAsiaTheme="majorEastAsia" w:hAnsi="Arial" w:cs="Arial"/>
      <w:b/>
      <w:iCs/>
      <w:sz w:val="28"/>
      <w:szCs w:val="28"/>
    </w:rPr>
  </w:style>
  <w:style w:type="character" w:customStyle="1" w:styleId="Heading5Char">
    <w:name w:val="Heading 5 Char"/>
    <w:basedOn w:val="DefaultParagraphFont"/>
    <w:link w:val="Heading5"/>
    <w:uiPriority w:val="9"/>
    <w:semiHidden/>
    <w:rsid w:val="00EE2DF4"/>
    <w:rPr>
      <w:rFonts w:eastAsiaTheme="majorEastAsia" w:cstheme="majorBidi"/>
      <w:color w:val="2E74B5" w:themeColor="accent1" w:themeShade="BF"/>
      <w:sz w:val="24"/>
    </w:rPr>
  </w:style>
  <w:style w:type="character" w:customStyle="1" w:styleId="Heading6Char">
    <w:name w:val="Heading 6 Char"/>
    <w:basedOn w:val="DefaultParagraphFont"/>
    <w:link w:val="Heading6"/>
    <w:uiPriority w:val="9"/>
    <w:semiHidden/>
    <w:rsid w:val="00EE2DF4"/>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EE2DF4"/>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EE2DF4"/>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EE2DF4"/>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F7023D"/>
    <w:pPr>
      <w:ind w:firstLine="0"/>
      <w:jc w:val="center"/>
    </w:pPr>
    <w:rPr>
      <w:b/>
      <w:bCs/>
    </w:rPr>
  </w:style>
  <w:style w:type="character" w:customStyle="1" w:styleId="TitleChar">
    <w:name w:val="Title Char"/>
    <w:basedOn w:val="DefaultParagraphFont"/>
    <w:link w:val="Title"/>
    <w:uiPriority w:val="10"/>
    <w:rsid w:val="00F7023D"/>
    <w:rPr>
      <w:rFonts w:ascii="Century Schoolbook" w:hAnsi="Century Schoolbook" w:cs="Times New Roman"/>
      <w:b/>
      <w:bCs/>
      <w:sz w:val="24"/>
    </w:rPr>
  </w:style>
  <w:style w:type="paragraph" w:styleId="Quote">
    <w:name w:val="Quote"/>
    <w:aliases w:val="BlockQuote"/>
    <w:basedOn w:val="Normal"/>
    <w:next w:val="Normal"/>
    <w:link w:val="QuoteChar"/>
    <w:uiPriority w:val="29"/>
    <w:qFormat/>
    <w:rsid w:val="00A246B5"/>
    <w:pPr>
      <w:spacing w:line="240" w:lineRule="auto"/>
      <w:ind w:left="720" w:right="720" w:firstLine="0"/>
    </w:pPr>
  </w:style>
  <w:style w:type="character" w:customStyle="1" w:styleId="QuoteChar">
    <w:name w:val="Quote Char"/>
    <w:aliases w:val="BlockQuote Char"/>
    <w:basedOn w:val="DefaultParagraphFont"/>
    <w:link w:val="Quote"/>
    <w:uiPriority w:val="29"/>
    <w:rsid w:val="00A246B5"/>
    <w:rPr>
      <w:rFonts w:ascii="Arial" w:hAnsi="Arial" w:cs="Arial"/>
      <w:sz w:val="28"/>
      <w:szCs w:val="28"/>
    </w:rPr>
  </w:style>
  <w:style w:type="paragraph" w:styleId="ListParagraph">
    <w:name w:val="List Paragraph"/>
    <w:basedOn w:val="Normal"/>
    <w:uiPriority w:val="34"/>
    <w:qFormat/>
    <w:rsid w:val="00EE2DF4"/>
    <w:pPr>
      <w:ind w:left="720"/>
      <w:contextualSpacing/>
    </w:pPr>
  </w:style>
  <w:style w:type="character" w:styleId="IntenseEmphasis">
    <w:name w:val="Intense Emphasis"/>
    <w:basedOn w:val="DefaultParagraphFont"/>
    <w:uiPriority w:val="21"/>
    <w:qFormat/>
    <w:rsid w:val="00EE2DF4"/>
    <w:rPr>
      <w:i/>
      <w:iCs/>
      <w:color w:val="2E74B5" w:themeColor="accent1" w:themeShade="BF"/>
    </w:rPr>
  </w:style>
  <w:style w:type="paragraph" w:styleId="IntenseQuote">
    <w:name w:val="Intense Quote"/>
    <w:basedOn w:val="Normal"/>
    <w:next w:val="Normal"/>
    <w:link w:val="IntenseQuoteChar"/>
    <w:uiPriority w:val="30"/>
    <w:qFormat/>
    <w:rsid w:val="00EE2DF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EE2DF4"/>
    <w:rPr>
      <w:rFonts w:ascii="Century Schoolbook" w:hAnsi="Century Schoolbook" w:cs="Times New Roman"/>
      <w:i/>
      <w:iCs/>
      <w:color w:val="2E74B5" w:themeColor="accent1" w:themeShade="BF"/>
      <w:sz w:val="24"/>
    </w:rPr>
  </w:style>
  <w:style w:type="character" w:styleId="IntenseReference">
    <w:name w:val="Intense Reference"/>
    <w:basedOn w:val="DefaultParagraphFont"/>
    <w:uiPriority w:val="32"/>
    <w:qFormat/>
    <w:rsid w:val="00EE2DF4"/>
    <w:rPr>
      <w:b/>
      <w:bCs/>
      <w:smallCaps/>
      <w:color w:val="2E74B5" w:themeColor="accent1" w:themeShade="BF"/>
      <w:spacing w:val="5"/>
    </w:rPr>
  </w:style>
  <w:style w:type="paragraph" w:styleId="Header">
    <w:name w:val="header"/>
    <w:basedOn w:val="Normal"/>
    <w:link w:val="HeaderChar"/>
    <w:uiPriority w:val="99"/>
    <w:unhideWhenUsed/>
    <w:rsid w:val="001B05AE"/>
    <w:pPr>
      <w:tabs>
        <w:tab w:val="center" w:pos="4680"/>
        <w:tab w:val="right" w:pos="9360"/>
      </w:tabs>
      <w:spacing w:line="240" w:lineRule="auto"/>
    </w:pPr>
  </w:style>
  <w:style w:type="character" w:customStyle="1" w:styleId="HeaderChar">
    <w:name w:val="Header Char"/>
    <w:basedOn w:val="DefaultParagraphFont"/>
    <w:link w:val="Header"/>
    <w:uiPriority w:val="99"/>
    <w:rsid w:val="001B05AE"/>
    <w:rPr>
      <w:rFonts w:ascii="Century Schoolbook" w:hAnsi="Century Schoolbook" w:cs="Times New Roman"/>
      <w:sz w:val="24"/>
    </w:rPr>
  </w:style>
  <w:style w:type="paragraph" w:styleId="Footer">
    <w:name w:val="footer"/>
    <w:basedOn w:val="Normal"/>
    <w:link w:val="FooterChar"/>
    <w:uiPriority w:val="99"/>
    <w:unhideWhenUsed/>
    <w:rsid w:val="001B05AE"/>
    <w:pPr>
      <w:tabs>
        <w:tab w:val="center" w:pos="4680"/>
        <w:tab w:val="right" w:pos="9360"/>
      </w:tabs>
      <w:spacing w:line="240" w:lineRule="auto"/>
    </w:pPr>
  </w:style>
  <w:style w:type="character" w:customStyle="1" w:styleId="FooterChar">
    <w:name w:val="Footer Char"/>
    <w:basedOn w:val="DefaultParagraphFont"/>
    <w:link w:val="Footer"/>
    <w:uiPriority w:val="99"/>
    <w:rsid w:val="001B05AE"/>
    <w:rPr>
      <w:rFonts w:ascii="Century Schoolbook" w:hAnsi="Century Schoolbook" w:cs="Times New Roman"/>
      <w:sz w:val="24"/>
    </w:rPr>
  </w:style>
  <w:style w:type="character" w:styleId="Strong">
    <w:name w:val="Strong"/>
    <w:aliases w:val="Captions"/>
    <w:uiPriority w:val="22"/>
    <w:qFormat/>
    <w:rsid w:val="00F7023D"/>
    <w:rPr>
      <w:b/>
      <w:bCs/>
    </w:rPr>
  </w:style>
  <w:style w:type="character" w:styleId="BookTitle">
    <w:name w:val="Book Title"/>
    <w:aliases w:val="SignatureBlock"/>
    <w:uiPriority w:val="33"/>
    <w:qFormat/>
    <w:rsid w:val="00F7023D"/>
    <w:rPr>
      <w:b/>
      <w:bCs/>
    </w:rPr>
  </w:style>
  <w:style w:type="paragraph" w:styleId="FootnoteText">
    <w:name w:val="footnote text"/>
    <w:basedOn w:val="Normal"/>
    <w:link w:val="FootnoteTextChar"/>
    <w:uiPriority w:val="99"/>
    <w:unhideWhenUsed/>
    <w:rsid w:val="00BD26D6"/>
    <w:pPr>
      <w:spacing w:line="240" w:lineRule="auto"/>
    </w:pPr>
    <w:rPr>
      <w:sz w:val="20"/>
      <w:szCs w:val="20"/>
    </w:rPr>
  </w:style>
  <w:style w:type="character" w:customStyle="1" w:styleId="FootnoteTextChar">
    <w:name w:val="Footnote Text Char"/>
    <w:basedOn w:val="DefaultParagraphFont"/>
    <w:link w:val="FootnoteText"/>
    <w:uiPriority w:val="99"/>
    <w:rsid w:val="00BD26D6"/>
    <w:rPr>
      <w:rFonts w:ascii="Century Schoolbook" w:hAnsi="Century Schoolbook" w:cs="Times New Roman"/>
      <w:sz w:val="20"/>
      <w:szCs w:val="20"/>
    </w:rPr>
  </w:style>
  <w:style w:type="character" w:styleId="FootnoteReference">
    <w:name w:val="footnote reference"/>
    <w:basedOn w:val="DefaultParagraphFont"/>
    <w:uiPriority w:val="99"/>
    <w:semiHidden/>
    <w:unhideWhenUsed/>
    <w:rsid w:val="00BD26D6"/>
    <w:rPr>
      <w:vertAlign w:val="superscript"/>
    </w:rPr>
  </w:style>
  <w:style w:type="character" w:styleId="CommentReference">
    <w:name w:val="annotation reference"/>
    <w:basedOn w:val="DefaultParagraphFont"/>
    <w:uiPriority w:val="99"/>
    <w:semiHidden/>
    <w:unhideWhenUsed/>
    <w:rsid w:val="0072129A"/>
    <w:rPr>
      <w:sz w:val="16"/>
      <w:szCs w:val="16"/>
    </w:rPr>
  </w:style>
  <w:style w:type="paragraph" w:styleId="CommentText">
    <w:name w:val="annotation text"/>
    <w:basedOn w:val="Normal"/>
    <w:link w:val="CommentTextChar"/>
    <w:uiPriority w:val="99"/>
    <w:unhideWhenUsed/>
    <w:rsid w:val="0072129A"/>
    <w:pPr>
      <w:spacing w:line="240" w:lineRule="auto"/>
    </w:pPr>
    <w:rPr>
      <w:sz w:val="20"/>
      <w:szCs w:val="20"/>
    </w:rPr>
  </w:style>
  <w:style w:type="character" w:customStyle="1" w:styleId="CommentTextChar">
    <w:name w:val="Comment Text Char"/>
    <w:basedOn w:val="DefaultParagraphFont"/>
    <w:link w:val="CommentText"/>
    <w:uiPriority w:val="99"/>
    <w:rsid w:val="0072129A"/>
    <w:rPr>
      <w:rFonts w:ascii="Century Schoolbook" w:hAnsi="Century Schoolbook" w:cs="Times New Roman"/>
      <w:sz w:val="20"/>
      <w:szCs w:val="20"/>
    </w:rPr>
  </w:style>
  <w:style w:type="paragraph" w:styleId="CommentSubject">
    <w:name w:val="annotation subject"/>
    <w:basedOn w:val="CommentText"/>
    <w:next w:val="CommentText"/>
    <w:link w:val="CommentSubjectChar"/>
    <w:uiPriority w:val="99"/>
    <w:semiHidden/>
    <w:unhideWhenUsed/>
    <w:rsid w:val="0072129A"/>
    <w:rPr>
      <w:b/>
      <w:bCs/>
    </w:rPr>
  </w:style>
  <w:style w:type="character" w:customStyle="1" w:styleId="CommentSubjectChar">
    <w:name w:val="Comment Subject Char"/>
    <w:basedOn w:val="CommentTextChar"/>
    <w:link w:val="CommentSubject"/>
    <w:uiPriority w:val="99"/>
    <w:semiHidden/>
    <w:rsid w:val="0072129A"/>
    <w:rPr>
      <w:rFonts w:ascii="Century Schoolbook" w:hAnsi="Century Schoolbook"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53C63C-4069-44DC-A5C0-9B3063258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1805</Words>
  <Characters>9027</Characters>
  <Application>Microsoft Office Word</Application>
  <DocSecurity>0</DocSecurity>
  <Lines>196</Lines>
  <Paragraphs>66</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10766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Bardwell</dc:creator>
  <cp:keywords/>
  <dc:description/>
  <cp:lastModifiedBy>Michael Bardwell</cp:lastModifiedBy>
  <cp:revision>12</cp:revision>
  <cp:lastPrinted>2026-04-01T19:33:00Z</cp:lastPrinted>
  <dcterms:created xsi:type="dcterms:W3CDTF">2026-04-07T19:29:00Z</dcterms:created>
  <dcterms:modified xsi:type="dcterms:W3CDTF">2026-04-08T16:51:00Z</dcterms:modified>
</cp:coreProperties>
</file>